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83"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240"/>
          </w:cols>
          <w:pgMar w:left="320" w:top="1440" w:right="339" w:bottom="1440" w:gutter="0" w:footer="0" w:header="0"/>
        </w:sectPr>
      </w:pPr>
    </w:p>
    <w:p>
      <w:pPr>
        <w:spacing w:after="0" w:line="1"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59" w:lineRule="exact"/>
        <w:rPr>
          <w:sz w:val="24"/>
          <w:szCs w:val="24"/>
          <w:color w:val="auto"/>
        </w:rPr>
      </w:pPr>
    </w:p>
    <w:p>
      <w:pPr>
        <w:sectPr>
          <w:pgSz w:w="11900" w:h="16838" w:orient="portrait"/>
          <w:cols w:equalWidth="0" w:num="2">
            <w:col w:w="4240" w:space="460"/>
            <w:col w:w="654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ectPr>
          <w:pgSz w:w="11900" w:h="16838" w:orient="portrait"/>
          <w:cols w:equalWidth="0" w:num="1">
            <w:col w:w="11240"/>
          </w:cols>
          <w:pgMar w:left="320" w:top="1440" w:right="339" w:bottom="1440" w:gutter="0" w:footer="0" w:header="0"/>
          <w:type w:val="continuous"/>
        </w:sectPr>
      </w:pP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526"/>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AMKOR TECHNOLOGY, INC.</w:t>
            </w: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r>
      <w:tr>
        <w:trPr>
          <w:trHeight w:val="350"/>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280" w:type="dxa"/>
            <w:vAlign w:val="bottom"/>
          </w:tcPr>
          <w:p>
            <w:pPr>
              <w:spacing w:after="0"/>
              <w:rPr>
                <w:sz w:val="24"/>
                <w:szCs w:val="24"/>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46"/>
        </w:trPr>
        <w:tc>
          <w:tcPr>
            <w:tcW w:w="3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i w:val="1"/>
                <w:iCs w:val="1"/>
                <w:color w:val="auto"/>
              </w:rPr>
              <w:t>(State of incorporation)</w:t>
            </w:r>
          </w:p>
        </w:tc>
        <w:tc>
          <w:tcPr>
            <w:tcW w:w="3280" w:type="dxa"/>
            <w:vAlign w:val="bottom"/>
          </w:tcPr>
          <w:p>
            <w:pPr>
              <w:spacing w:after="0"/>
              <w:rPr>
                <w:sz w:val="12"/>
                <w:szCs w:val="12"/>
                <w:color w:val="auto"/>
              </w:rPr>
            </w:pPr>
          </w:p>
        </w:tc>
        <w:tc>
          <w:tcPr>
            <w:tcW w:w="4460" w:type="dxa"/>
            <w:vAlign w:val="bottom"/>
          </w:tcPr>
          <w:p>
            <w:pPr>
              <w:jc w:val="center"/>
              <w:ind w:left="777"/>
              <w:spacing w:after="0" w:line="146"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90"/>
        </w:trPr>
        <w:tc>
          <w:tcPr>
            <w:tcW w:w="35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460" w:type="dxa"/>
            <w:vAlign w:val="bottom"/>
          </w:tcPr>
          <w:p>
            <w:pPr>
              <w:jc w:val="center"/>
              <w:ind w:left="777"/>
              <w:spacing w:after="0"/>
              <w:rPr>
                <w:sz w:val="20"/>
                <w:szCs w:val="20"/>
                <w:color w:val="auto"/>
              </w:rPr>
            </w:pPr>
            <w:r>
              <w:rPr>
                <w:rFonts w:ascii="Times New Roman" w:cs="Times New Roman" w:eastAsia="Times New Roman" w:hAnsi="Times New Roman"/>
                <w:sz w:val="14"/>
                <w:szCs w:val="14"/>
                <w:i w:val="1"/>
                <w:iCs w:val="1"/>
                <w:color w:val="auto"/>
              </w:rPr>
              <w:t>Identification Number)</w:t>
            </w:r>
          </w:p>
        </w:tc>
      </w:tr>
      <w:tr>
        <w:trPr>
          <w:trHeight w:val="287"/>
        </w:trPr>
        <w:tc>
          <w:tcPr>
            <w:tcW w:w="3500" w:type="dxa"/>
            <w:vAlign w:val="bottom"/>
          </w:tcPr>
          <w:p>
            <w:pPr>
              <w:spacing w:after="0"/>
              <w:rPr>
                <w:sz w:val="24"/>
                <w:szCs w:val="24"/>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3500" w:type="dxa"/>
            <w:vAlign w:val="bottom"/>
          </w:tcPr>
          <w:p>
            <w:pPr>
              <w:spacing w:after="0"/>
              <w:rPr>
                <w:sz w:val="18"/>
                <w:szCs w:val="18"/>
                <w:color w:val="auto"/>
              </w:rPr>
            </w:pPr>
          </w:p>
        </w:tc>
        <w:tc>
          <w:tcPr>
            <w:tcW w:w="3280" w:type="dxa"/>
            <w:vAlign w:val="bottom"/>
          </w:tcPr>
          <w:p>
            <w:pPr>
              <w:jc w:val="center"/>
              <w:ind w:left="898"/>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3500" w:type="dxa"/>
            <w:vAlign w:val="bottom"/>
          </w:tcPr>
          <w:p>
            <w:pPr>
              <w:spacing w:after="0"/>
              <w:rPr>
                <w:sz w:val="16"/>
                <w:szCs w:val="16"/>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3500" w:type="dxa"/>
            <w:vAlign w:val="bottom"/>
          </w:tcPr>
          <w:p>
            <w:pPr>
              <w:spacing w:after="0"/>
              <w:rPr>
                <w:sz w:val="24"/>
                <w:szCs w:val="24"/>
                <w:color w:val="auto"/>
              </w:rPr>
            </w:pPr>
          </w:p>
        </w:tc>
        <w:tc>
          <w:tcPr>
            <w:tcW w:w="3280" w:type="dxa"/>
            <w:vAlign w:val="bottom"/>
          </w:tcPr>
          <w:p>
            <w:pPr>
              <w:jc w:val="center"/>
              <w:ind w:left="878"/>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3500" w:type="dxa"/>
            <w:vAlign w:val="bottom"/>
          </w:tcPr>
          <w:p>
            <w:pPr>
              <w:spacing w:after="0"/>
              <w:rPr>
                <w:sz w:val="19"/>
                <w:szCs w:val="19"/>
                <w:color w:val="auto"/>
              </w:rPr>
            </w:pPr>
          </w:p>
        </w:tc>
        <w:tc>
          <w:tcPr>
            <w:tcW w:w="7740" w:type="dxa"/>
            <w:vAlign w:val="bottom"/>
            <w:gridSpan w:val="2"/>
          </w:tcPr>
          <w:p>
            <w:pPr>
              <w:jc w:val="center"/>
              <w:ind w:right="3397"/>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3500" w:type="dxa"/>
            <w:vAlign w:val="bottom"/>
          </w:tcPr>
          <w:p>
            <w:pPr>
              <w:spacing w:after="0"/>
              <w:rPr>
                <w:sz w:val="19"/>
                <w:szCs w:val="19"/>
                <w:color w:val="auto"/>
              </w:rPr>
            </w:pPr>
          </w:p>
        </w:tc>
        <w:tc>
          <w:tcPr>
            <w:tcW w:w="7740" w:type="dxa"/>
            <w:vAlign w:val="bottom"/>
            <w:gridSpan w:val="2"/>
          </w:tcPr>
          <w:p>
            <w:pPr>
              <w:jc w:val="center"/>
              <w:ind w:right="341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350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2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7"/>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00" w:type="dxa"/>
            <w:vAlign w:val="bottom"/>
          </w:tcPr>
          <w:p>
            <w:pPr>
              <w:jc w:val="center"/>
              <w:ind w:left="248"/>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280" w:type="dxa"/>
            <w:vAlign w:val="bottom"/>
          </w:tcPr>
          <w:p>
            <w:pPr>
              <w:jc w:val="center"/>
              <w:ind w:right="298"/>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7"/>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440" w:right="339" w:bottom="1440" w:gutter="0" w:footer="0" w:header="0"/>
          <w:type w:val="continuous"/>
        </w:sectPr>
      </w:pPr>
    </w:p>
    <w:p>
      <w:pPr>
        <w:spacing w:after="0" w:line="53"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2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103"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right="198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July 29, 2022 was 244,838,091.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and Six Months Ended June 30,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Comprehensive Income - Three and Six Months Ended June 30, 2022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June 30, 2022 and December 31,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7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 Three and Six Months Ended June 30, 2022 and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7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 Six Months Ended June 30, 2022 and 2021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2022, including expenditures in support of our announced expansion into Vietnam and our advanced packaging and test equipment, (2) our ability to fund our operating activities and financial requirements for the next twelve months, (3) the effect of changes in revenue levels and capacity utilization on our gross margin, (4) the impact of the Covid-19 pandemic on our operations, financial results and supply chain, including as a result of the government-mandated lockdown of our Shanghai factory during the second quarter of 2022, (5) the focus of our research and development activities, (6) the anticipated impact of tax law changes in the jurisdictions in which we operate, (7) the grant and expiration of tax holidays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expected contributions to foreign pension plans and potential future conversion of our unfunded severance plan in Korea to a defined contribution plan, (13) liability for unrecognized tax benefits and the potential impact of our unrecognized tax benefits on our effective tax rate, (14) the effect of foreign currency exchange rate exposure on our financial results, (15) the volatility of the trading price of our common stock,</w:t>
      </w:r>
    </w:p>
    <w:p>
      <w:pPr>
        <w:spacing w:after="0" w:line="2" w:lineRule="exact"/>
        <w:rPr>
          <w:sz w:val="20"/>
          <w:szCs w:val="20"/>
          <w:color w:val="auto"/>
        </w:rPr>
      </w:pPr>
    </w:p>
    <w:p>
      <w:pPr>
        <w:jc w:val="both"/>
        <w:ind w:firstLine="8"/>
        <w:spacing w:after="0" w:line="253" w:lineRule="auto"/>
        <w:tabs>
          <w:tab w:leader="none" w:pos="3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internal controls related to integration of acquired operations and implementation of an enterprise resource planning system, (17) our efforts to enlarge our customer base in certain geographic areas and markets, (18) demand for advanced packages in mobile and automotive devices and our technology leadership and potential growth in the communications and automotive and industrial end markets, (19) projects to install or integrate new information technology systems or upgrade our existing systems, (20) our expected revenue recognition, (21) the anticipated schedule for and benefits from our new manufacturing facility under development in Vietnam and</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June 30, 2022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ind w:firstLine="8"/>
        <w:spacing w:after="0" w:line="253" w:lineRule="auto"/>
        <w:tabs>
          <w:tab w:leader="none" w:pos="3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that are not historical facts.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2021 (the “2021 Form 10-K”) and from time to time in our other reports filed with or furnished to the Securities and Exchange Commission (“SEC”). You should carefully consider the trends, risks and uncertainties described in this Form 10-Q, the 2021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940" w:type="dxa"/>
            <w:vAlign w:val="bottom"/>
            <w:gridSpan w:val="7"/>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940" w:type="dxa"/>
            <w:vAlign w:val="bottom"/>
            <w:gridSpan w:val="7"/>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080" w:type="dxa"/>
            <w:vAlign w:val="bottom"/>
            <w:gridSpan w:val="8"/>
          </w:tcPr>
          <w:p>
            <w:pPr>
              <w:jc w:val="center"/>
              <w:ind w:left="23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40" w:type="dxa"/>
            <w:vAlign w:val="bottom"/>
          </w:tcPr>
          <w:p>
            <w:pPr>
              <w:spacing w:after="0"/>
              <w:rPr>
                <w:sz w:val="24"/>
                <w:szCs w:val="24"/>
                <w:color w:val="auto"/>
              </w:rPr>
            </w:pPr>
          </w:p>
        </w:tc>
        <w:tc>
          <w:tcPr>
            <w:tcW w:w="294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8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1,504,868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1,406,535</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3,101,684</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2,732,685</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1,255,713</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1,133,715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2,527,199</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2,194,331</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249,155</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272,820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574,485</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538,354</w:t>
            </w:r>
          </w:p>
        </w:tc>
      </w:tr>
      <w:tr>
        <w:trPr>
          <w:trHeight w:val="22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150,957</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75,841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87,834</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106,346</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221,668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238,791</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352,817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299,563</w:t>
            </w:r>
          </w:p>
        </w:tc>
      </w:tr>
      <w:tr>
        <w:trPr>
          <w:trHeight w:val="229"/>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25,437</w:t>
            </w:r>
          </w:p>
        </w:tc>
      </w:tr>
      <w:tr>
        <w:trPr>
          <w:trHeight w:val="22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0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15,604</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25,430</w:t>
            </w:r>
          </w:p>
        </w:tc>
      </w:tr>
      <w:tr>
        <w:trPr>
          <w:trHeight w:val="223"/>
        </w:trPr>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337,213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274,133</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10,788</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27,656</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296,697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246,477</w:t>
            </w:r>
          </w:p>
        </w:tc>
      </w:tr>
      <w:tr>
        <w:trPr>
          <w:trHeight w:val="230"/>
        </w:trPr>
        <w:tc>
          <w:tcPr>
            <w:tcW w:w="4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48"/>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125,806</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245,615</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8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02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244,592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244,498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243,566</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245,855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245,551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245,372</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60" w:type="dxa"/>
            <w:vAlign w:val="bottom"/>
          </w:tcPr>
          <w:p>
            <w:pPr>
              <w:spacing w:after="0"/>
              <w:rPr>
                <w:sz w:val="16"/>
                <w:szCs w:val="16"/>
                <w:color w:val="auto"/>
              </w:rPr>
            </w:pPr>
          </w:p>
        </w:tc>
        <w:tc>
          <w:tcPr>
            <w:tcW w:w="248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296,697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246,477</w:t>
            </w: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58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Adjustments to net unrealized gains (losses) on available-for-sale debt</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5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w:t>
            </w:r>
          </w:p>
        </w:tc>
      </w:tr>
      <w:tr>
        <w:trPr>
          <w:trHeight w:val="223"/>
        </w:trPr>
        <w:tc>
          <w:tcPr>
            <w:tcW w:w="58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r>
      <w:tr>
        <w:trPr>
          <w:trHeight w:val="22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235,320</w:t>
            </w:r>
          </w:p>
        </w:tc>
      </w:tr>
      <w:tr>
        <w:trPr>
          <w:trHeight w:val="23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234,458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733,922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826,744</w:t>
            </w: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$377,322 and $251,959 in 2022 and 2021, respectively)</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251,530</w:t>
            </w: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1,169,028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1,258,767</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636,969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484,959</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33,601</w:t>
            </w:r>
          </w:p>
        </w:tc>
        <w:tc>
          <w:tcPr>
            <w:tcW w:w="0" w:type="dxa"/>
            <w:vAlign w:val="bottom"/>
          </w:tcPr>
          <w:p>
            <w:pPr>
              <w:spacing w:after="0"/>
              <w:rPr>
                <w:sz w:val="1"/>
                <w:szCs w:val="1"/>
                <w:color w:val="auto"/>
              </w:rPr>
            </w:pPr>
          </w:p>
        </w:tc>
      </w:tr>
      <w:tr>
        <w:trPr>
          <w:trHeight w:val="227"/>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2,963,887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2,856,563</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3,059,978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2,871,058</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159,742</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24,516</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173,941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122,860</w:t>
            </w:r>
          </w:p>
        </w:tc>
        <w:tc>
          <w:tcPr>
            <w:tcW w:w="0" w:type="dxa"/>
            <w:vAlign w:val="bottom"/>
          </w:tcPr>
          <w:p>
            <w:pPr>
              <w:spacing w:after="0"/>
              <w:rPr>
                <w:sz w:val="1"/>
                <w:szCs w:val="1"/>
                <w:color w:val="auto"/>
              </w:rPr>
            </w:pPr>
          </w:p>
        </w:tc>
      </w:tr>
      <w:tr>
        <w:trPr>
          <w:trHeight w:val="252"/>
        </w:trPr>
        <w:tc>
          <w:tcPr>
            <w:tcW w:w="7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6,390,662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6,038,554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153,008</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828,727</w:t>
            </w: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344,301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210,875</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68,099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64,233</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385,109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422,892</w:t>
            </w:r>
          </w:p>
        </w:tc>
        <w:tc>
          <w:tcPr>
            <w:tcW w:w="0" w:type="dxa"/>
            <w:vAlign w:val="bottom"/>
          </w:tcPr>
          <w:p>
            <w:pPr>
              <w:spacing w:after="0"/>
              <w:rPr>
                <w:sz w:val="1"/>
                <w:szCs w:val="1"/>
                <w:color w:val="auto"/>
              </w:rPr>
            </w:pPr>
          </w:p>
        </w:tc>
      </w:tr>
      <w:tr>
        <w:trPr>
          <w:trHeight w:val="227"/>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1,784,962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1,679,735</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981,220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984,988</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109,924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120,472</w:t>
            </w: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83,937</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211,545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196,876</w:t>
            </w:r>
          </w:p>
        </w:tc>
        <w:tc>
          <w:tcPr>
            <w:tcW w:w="0" w:type="dxa"/>
            <w:vAlign w:val="bottom"/>
          </w:tcPr>
          <w:p>
            <w:pPr>
              <w:spacing w:after="0"/>
              <w:rPr>
                <w:sz w:val="1"/>
                <w:szCs w:val="1"/>
                <w:color w:val="auto"/>
              </w:rPr>
            </w:pPr>
          </w:p>
        </w:tc>
      </w:tr>
      <w:tr>
        <w:trPr>
          <w:trHeight w:val="219"/>
        </w:trPr>
        <w:tc>
          <w:tcPr>
            <w:tcW w:w="78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3,163,112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3,066,008</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6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784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$0.001 par value, 500,000 shares authorized; 290,788 and 290,466 shares issued; and 244,633</w:t>
            </w:r>
          </w:p>
        </w:tc>
        <w:tc>
          <w:tcPr>
            <w:tcW w:w="2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23"/>
        </w:trPr>
        <w:tc>
          <w:tcPr>
            <w:tcW w:w="78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and 244,315 shares outstanding in 2022 and 2021, respectively</w:t>
            </w: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1,985,992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1,977,134</w:t>
            </w:r>
          </w:p>
        </w:tc>
        <w:tc>
          <w:tcPr>
            <w:tcW w:w="0" w:type="dxa"/>
            <w:vAlign w:val="bottom"/>
          </w:tcPr>
          <w:p>
            <w:pPr>
              <w:spacing w:after="0"/>
              <w:rPr>
                <w:sz w:val="1"/>
                <w:szCs w:val="1"/>
                <w:color w:val="auto"/>
              </w:rPr>
            </w:pPr>
          </w:p>
        </w:tc>
      </w:tr>
      <w:tr>
        <w:trPr>
          <w:trHeight w:val="226"/>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1,434,906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1,163,939</w:t>
            </w:r>
          </w:p>
        </w:tc>
        <w:tc>
          <w:tcPr>
            <w:tcW w:w="0" w:type="dxa"/>
            <w:vAlign w:val="bottom"/>
          </w:tcPr>
          <w:p>
            <w:pPr>
              <w:spacing w:after="0"/>
              <w:rPr>
                <w:sz w:val="1"/>
                <w:szCs w:val="1"/>
                <w:color w:val="auto"/>
              </w:rPr>
            </w:pPr>
          </w:p>
        </w:tc>
      </w:tr>
      <w:tr>
        <w:trPr>
          <w:trHeight w:val="23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19,978</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46,155 and 46,151 shares in 2022 and 2021, respectively</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(219,147)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(219,065)</w:t>
            </w:r>
          </w:p>
        </w:tc>
        <w:tc>
          <w:tcPr>
            <w:tcW w:w="0" w:type="dxa"/>
            <w:vAlign w:val="bottom"/>
          </w:tcPr>
          <w:p>
            <w:pPr>
              <w:spacing w:after="0"/>
              <w:rPr>
                <w:sz w:val="1"/>
                <w:szCs w:val="1"/>
                <w:color w:val="auto"/>
              </w:rPr>
            </w:pPr>
          </w:p>
        </w:tc>
      </w:tr>
      <w:tr>
        <w:trPr>
          <w:trHeight w:val="227"/>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2,942,276</w:t>
            </w:r>
          </w:p>
        </w:tc>
        <w:tc>
          <w:tcPr>
            <w:tcW w:w="0" w:type="dxa"/>
            <w:vAlign w:val="bottom"/>
          </w:tcPr>
          <w:p>
            <w:pPr>
              <w:spacing w:after="0"/>
              <w:rPr>
                <w:sz w:val="1"/>
                <w:szCs w:val="1"/>
                <w:color w:val="auto"/>
              </w:rPr>
            </w:pPr>
          </w:p>
        </w:tc>
      </w:tr>
      <w:tr>
        <w:trPr>
          <w:trHeight w:val="226"/>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30,270</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3,227,550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2,972,546</w:t>
            </w:r>
          </w:p>
        </w:tc>
        <w:tc>
          <w:tcPr>
            <w:tcW w:w="0" w:type="dxa"/>
            <w:vAlign w:val="bottom"/>
          </w:tcPr>
          <w:p>
            <w:pPr>
              <w:spacing w:after="0"/>
              <w:rPr>
                <w:sz w:val="1"/>
                <w:szCs w:val="1"/>
                <w:color w:val="auto"/>
              </w:rPr>
            </w:pPr>
          </w:p>
        </w:tc>
      </w:tr>
      <w:tr>
        <w:trPr>
          <w:trHeight w:val="227"/>
        </w:trPr>
        <w:tc>
          <w:tcPr>
            <w:tcW w:w="78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6,390,662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6,038,554</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164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5"/>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290,687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1,982,113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1,322,370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3,096,123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3,126,822</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125,469</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(16,243)</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(16,243)</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3,621</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($0.05 per common 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(12,242)</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290,788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1,985,992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1,434,906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(5,747)</w:t>
            </w: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3,196,295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31,255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3,227,550</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2021</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290,466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1,977,134</w:t>
            </w:r>
          </w:p>
        </w:tc>
        <w:tc>
          <w:tcPr>
            <w:tcW w:w="100" w:type="dxa"/>
            <w:vAlign w:val="bottom"/>
          </w:tcPr>
          <w:p>
            <w:pPr>
              <w:spacing w:after="0"/>
              <w:rPr>
                <w:sz w:val="15"/>
                <w:szCs w:val="15"/>
                <w:color w:val="auto"/>
              </w:rPr>
            </w:pP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1,163,939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19,978</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2,942,276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30,270</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2,972,546</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295,441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296,697</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(25,725)</w:t>
            </w:r>
          </w:p>
        </w:tc>
        <w:tc>
          <w:tcPr>
            <w:tcW w:w="12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(25,725)</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w:t>
            </w: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7,119</w:t>
            </w: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($0.10 per common 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(24,474)</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75"/>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2022</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290,788</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1,985,992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1,434,906</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(5,747)</w:t>
            </w: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(46,155)</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(219,147)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3,196,295</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31,255</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3,227,550</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0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80" w:type="dxa"/>
            <w:vAlign w:val="bottom"/>
            <w:gridSpan w:val="5"/>
          </w:tcPr>
          <w:p>
            <w:pPr>
              <w:ind w:left="44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restart"/>
          </w:tcPr>
          <w:p>
            <w:pPr>
              <w:jc w:val="center"/>
              <w:ind w:right="12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160" w:type="dxa"/>
            <w:vAlign w:val="bottom"/>
          </w:tcPr>
          <w:p>
            <w:pPr>
              <w:spacing w:after="0"/>
              <w:rPr>
                <w:sz w:val="4"/>
                <w:szCs w:val="4"/>
                <w:color w:val="auto"/>
              </w:rPr>
            </w:pPr>
          </w:p>
        </w:tc>
        <w:tc>
          <w:tcPr>
            <w:tcW w:w="840" w:type="dxa"/>
            <w:vAlign w:val="bottom"/>
            <w:gridSpan w:val="2"/>
            <w:vMerge w:val="restart"/>
          </w:tcPr>
          <w:p>
            <w:pPr>
              <w:ind w:left="80"/>
              <w:spacing w:after="0" w:line="95" w:lineRule="exact"/>
              <w:rPr>
                <w:sz w:val="20"/>
                <w:szCs w:val="20"/>
                <w:color w:val="auto"/>
              </w:rPr>
            </w:pPr>
            <w:r>
              <w:rPr>
                <w:rFonts w:ascii="Times New Roman" w:cs="Times New Roman" w:eastAsia="Times New Roman" w:hAnsi="Times New Roman"/>
                <w:sz w:val="10"/>
                <w:szCs w:val="10"/>
                <w:b w:val="1"/>
                <w:bCs w:val="1"/>
                <w:color w:val="auto"/>
              </w:rPr>
              <w:t>Retained</w:t>
            </w:r>
          </w:p>
        </w:tc>
        <w:tc>
          <w:tcPr>
            <w:tcW w:w="120" w:type="dxa"/>
            <w:vAlign w:val="bottom"/>
          </w:tcPr>
          <w:p>
            <w:pPr>
              <w:spacing w:after="0"/>
              <w:rPr>
                <w:sz w:val="4"/>
                <w:szCs w:val="4"/>
                <w:color w:val="auto"/>
              </w:rPr>
            </w:pPr>
          </w:p>
        </w:tc>
        <w:tc>
          <w:tcPr>
            <w:tcW w:w="1040" w:type="dxa"/>
            <w:vAlign w:val="bottom"/>
            <w:gridSpan w:val="2"/>
            <w:vMerge w:val="restart"/>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2"/>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line="20" w:lineRule="exact"/>
              <w:rPr>
                <w:sz w:val="1"/>
                <w:szCs w:val="1"/>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3"/>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20" w:type="dxa"/>
            <w:vAlign w:val="bottom"/>
          </w:tcPr>
          <w:p>
            <w:pPr>
              <w:spacing w:after="0"/>
              <w:rPr>
                <w:sz w:val="13"/>
                <w:szCs w:val="13"/>
                <w:color w:val="auto"/>
              </w:rPr>
            </w:pPr>
          </w:p>
        </w:tc>
        <w:tc>
          <w:tcPr>
            <w:tcW w:w="8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In Capital</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tcPr>
          <w:p>
            <w:pPr>
              <w:ind w:left="6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1,964,331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672,534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15,823</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2,433,917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2,462,237</w:t>
            </w:r>
          </w:p>
        </w:tc>
        <w:tc>
          <w:tcPr>
            <w:tcW w:w="0" w:type="dxa"/>
            <w:vAlign w:val="bottom"/>
          </w:tcPr>
          <w:p>
            <w:pPr>
              <w:spacing w:after="0"/>
              <w:rPr>
                <w:sz w:val="1"/>
                <w:szCs w:val="1"/>
                <w:color w:val="auto"/>
              </w:rPr>
            </w:pPr>
          </w:p>
        </w:tc>
      </w:tr>
      <w:tr>
        <w:trPr>
          <w:trHeight w:val="170"/>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126,458</w:t>
            </w:r>
          </w:p>
        </w:tc>
        <w:tc>
          <w:tcPr>
            <w:tcW w:w="0" w:type="dxa"/>
            <w:vAlign w:val="bottom"/>
          </w:tcPr>
          <w:p>
            <w:pPr>
              <w:spacing w:after="0"/>
              <w:rPr>
                <w:sz w:val="1"/>
                <w:szCs w:val="1"/>
                <w:color w:val="auto"/>
              </w:rPr>
            </w:pPr>
          </w:p>
        </w:tc>
      </w:tr>
      <w:tr>
        <w:trPr>
          <w:trHeight w:val="127"/>
        </w:trPr>
        <w:tc>
          <w:tcPr>
            <w:tcW w:w="162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($0.04 per common 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(9,773)</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290,115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1,968,339</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788,567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16,113</w:t>
            </w: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(219,061)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2,554,248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28,822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2,583,070</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2020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288,923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1,953,378</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562,502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27,270</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(46,094)</w:t>
            </w:r>
          </w:p>
        </w:tc>
        <w:tc>
          <w:tcPr>
            <w:tcW w:w="12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(217,740)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2,325,699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28,260</w:t>
            </w:r>
          </w:p>
        </w:tc>
        <w:tc>
          <w:tcPr>
            <w:tcW w:w="100" w:type="dxa"/>
            <w:vAlign w:val="bottom"/>
          </w:tcPr>
          <w:p>
            <w:pPr>
              <w:spacing w:after="0"/>
              <w:rPr>
                <w:sz w:val="15"/>
                <w:szCs w:val="15"/>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2,353,959</w:t>
            </w:r>
          </w:p>
        </w:tc>
        <w:tc>
          <w:tcPr>
            <w:tcW w:w="0" w:type="dxa"/>
            <w:vAlign w:val="bottom"/>
          </w:tcPr>
          <w:p>
            <w:pPr>
              <w:spacing w:after="0"/>
              <w:rPr>
                <w:sz w:val="1"/>
                <w:szCs w:val="1"/>
                <w:color w:val="auto"/>
              </w:rPr>
            </w:pPr>
          </w:p>
        </w:tc>
      </w:tr>
      <w:tr>
        <w:trPr>
          <w:trHeight w:val="18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245,615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246,477</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income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(11,157)</w:t>
            </w:r>
          </w:p>
        </w:tc>
        <w:tc>
          <w:tcPr>
            <w:tcW w:w="12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(11,157)</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Treasury stock acquired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w w:val="99"/>
              </w:rPr>
              <w:t>through surrender of shares</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through</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2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10,024</w:t>
            </w:r>
          </w:p>
        </w:tc>
        <w:tc>
          <w:tcPr>
            <w:tcW w:w="0" w:type="dxa"/>
            <w:vAlign w:val="bottom"/>
          </w:tcPr>
          <w:p>
            <w:pPr>
              <w:spacing w:after="0"/>
              <w:rPr>
                <w:sz w:val="1"/>
                <w:szCs w:val="1"/>
                <w:color w:val="auto"/>
              </w:rPr>
            </w:pPr>
          </w:p>
        </w:tc>
      </w:tr>
      <w:tr>
        <w:trPr>
          <w:trHeight w:val="184"/>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0" w:type="dxa"/>
            <w:vAlign w:val="bottom"/>
          </w:tcPr>
          <w:p>
            <w:pPr>
              <w:spacing w:after="0"/>
              <w:rPr>
                <w:sz w:val="1"/>
                <w:szCs w:val="1"/>
                <w:color w:val="auto"/>
              </w:rPr>
            </w:pPr>
          </w:p>
        </w:tc>
      </w:tr>
      <w:tr>
        <w:trPr>
          <w:trHeight w:val="122"/>
        </w:trPr>
        <w:tc>
          <w:tcPr>
            <w:tcW w:w="16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Cash Dividends declared</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($0.08 per common share)</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(19,550)</w:t>
            </w:r>
          </w:p>
        </w:tc>
        <w:tc>
          <w:tcPr>
            <w:tcW w:w="0" w:type="dxa"/>
            <w:vAlign w:val="bottom"/>
          </w:tcPr>
          <w:p>
            <w:pPr>
              <w:spacing w:after="0"/>
              <w:rPr>
                <w:sz w:val="1"/>
                <w:szCs w:val="1"/>
                <w:color w:val="auto"/>
              </w:rPr>
            </w:pPr>
          </w:p>
        </w:tc>
      </w:tr>
      <w:tr>
        <w:trPr>
          <w:trHeight w:val="129"/>
        </w:trPr>
        <w:tc>
          <w:tcPr>
            <w:tcW w:w="1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Subsidiary dividends to non-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r>
        <w:trPr>
          <w:trHeight w:val="175"/>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2021</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290,115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1,968,339</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788,567</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16,113</w:t>
            </w:r>
          </w:p>
        </w:tc>
        <w:tc>
          <w:tcPr>
            <w:tcW w:w="12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(46,151)</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(219,061)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2,554,248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28,822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2,583,070</w:t>
            </w:r>
          </w:p>
        </w:tc>
        <w:tc>
          <w:tcPr>
            <w:tcW w:w="0" w:type="dxa"/>
            <w:vAlign w:val="bottom"/>
          </w:tcPr>
          <w:p>
            <w:pPr>
              <w:spacing w:after="0"/>
              <w:rPr>
                <w:sz w:val="1"/>
                <w:szCs w:val="1"/>
                <w:color w:val="auto"/>
              </w:rPr>
            </w:pPr>
          </w:p>
        </w:tc>
      </w:tr>
      <w:tr>
        <w:trPr>
          <w:trHeight w:val="21"/>
        </w:trPr>
        <w:tc>
          <w:tcPr>
            <w:tcW w:w="1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246,477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274,991</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(65,442)</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462,269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456,331</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(273,617)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(37,972)</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45,396</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103,116</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(321,495)</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0" w:type="dxa"/>
            <w:vAlign w:val="bottom"/>
          </w:tcPr>
          <w:p>
            <w:pPr>
              <w:spacing w:after="0"/>
              <w:rPr>
                <w:sz w:val="1"/>
                <w:szCs w:val="1"/>
                <w:color w:val="auto"/>
              </w:rPr>
            </w:pPr>
          </w:p>
        </w:tc>
      </w:tr>
      <w:tr>
        <w:trPr>
          <w:trHeight w:val="229"/>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(155,284)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(184,212)</w:t>
            </w:r>
          </w:p>
        </w:tc>
        <w:tc>
          <w:tcPr>
            <w:tcW w:w="0" w:type="dxa"/>
            <w:vAlign w:val="bottom"/>
          </w:tcPr>
          <w:p>
            <w:pPr>
              <w:spacing w:after="0"/>
              <w:rPr>
                <w:sz w:val="1"/>
                <w:szCs w:val="1"/>
                <w:color w:val="auto"/>
              </w:rPr>
            </w:pPr>
          </w:p>
        </w:tc>
      </w:tr>
      <w:tr>
        <w:trPr>
          <w:trHeight w:val="230"/>
        </w:trPr>
        <w:tc>
          <w:tcPr>
            <w:tcW w:w="7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(29,221)</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(97,539)</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27,023</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831,521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702,197</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729,220</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460,451</w:t>
            </w:r>
          </w:p>
        </w:tc>
        <w:tc>
          <w:tcPr>
            <w:tcW w:w="0" w:type="dxa"/>
            <w:vAlign w:val="bottom"/>
          </w:tcPr>
          <w:p>
            <w:pPr>
              <w:spacing w:after="0"/>
              <w:rPr>
                <w:sz w:val="1"/>
                <w:szCs w:val="1"/>
                <w:color w:val="auto"/>
              </w:rPr>
            </w:pPr>
          </w:p>
        </w:tc>
      </w:tr>
      <w:tr>
        <w:trPr>
          <w:trHeight w:val="230"/>
        </w:trPr>
        <w:tc>
          <w:tcPr>
            <w:tcW w:w="7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June 30, 2022, and for the three and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 contained in this Form 10-Q (the “Consolidated Financial Statements”) are unaudited, pursuant to the rules and regulations of the SEC. The December 31, 2021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2021 Form 10-K. The results of operations for the three and six months ended June 30, 2022 are not necessarily indicative of the results to be expected for the full year ending December 31, 2022.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the impact of the Covid-19 pandemic and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June 30, 2022 and December 31, 2021 were $267.0 million and $224.7 million, respectively.</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$183.5 million and $187.2 million as of June 30, 2022 and December 31, 2021, respectively. As of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December 31, 2021, the short-term portions of the liabilities were $92.4 million and $117.7 million, respectively. The remainder of the June 30, 2022 contract liability balance is expected to be recognized in revenue over the next 1-5 years. Revenue recognized during the six months ended June 30, 2022 and 2021 that was included in the contract liabilities balance at the beginning of the period was $55.7 million and $15.8 million, respectively.</w:t>
      </w:r>
    </w:p>
    <w:p>
      <w:pPr>
        <w:spacing w:after="0" w:line="3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Net Sales by Product Group and End Market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20" w:type="dxa"/>
            <w:vAlign w:val="bottom"/>
          </w:tcPr>
          <w:p>
            <w:pPr>
              <w:spacing w:after="0"/>
              <w:rPr>
                <w:sz w:val="16"/>
                <w:szCs w:val="16"/>
                <w:color w:val="auto"/>
              </w:rPr>
            </w:pPr>
          </w:p>
        </w:tc>
        <w:tc>
          <w:tcPr>
            <w:tcW w:w="290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44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7"/>
                <w:szCs w:val="17"/>
                <w:color w:val="auto"/>
              </w:rPr>
            </w:pPr>
          </w:p>
        </w:tc>
      </w:tr>
      <w:tr>
        <w:trPr>
          <w:trHeight w:val="23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1,083,721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979,668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2,240,229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1,900,323</w:t>
            </w: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421,147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861,455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832,362</w:t>
            </w: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1,504,868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2,732,685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r>
        <w:rPr>
          <w:rFonts w:ascii="Times New Roman" w:cs="Times New Roman" w:eastAsia="Times New Roman" w:hAnsi="Times New Roman"/>
          <w:sz w:val="18"/>
          <w:szCs w:val="18"/>
          <w:b w:val="1"/>
          <w:bCs w:val="1"/>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60" w:type="dxa"/>
            <w:vAlign w:val="bottom"/>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5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 (smart phones, tablets)</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3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5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8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80" w:type="dxa"/>
            <w:vAlign w:val="bottom"/>
            <w:gridSpan w:val="7"/>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7"/>
              </w:rPr>
              <w:t>(509)</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10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debt retirement</w:t>
            </w:r>
          </w:p>
        </w:tc>
        <w:tc>
          <w:tcPr>
            <w:tcW w:w="10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7"/>
              </w:rPr>
              <w:t>(798)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5"/>
              </w:rPr>
              <w:t>(7)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$40.5 million for the six months ended June 30, 2022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decreased from $37.3 million as of December 31, 2021 to $35.3 million as of June 30, 2022, primarily due to settlements of examinations offset by increases related to income attribution.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2012-2021. The open years contain matters that could be subject to differing interpretations of applicable tax laws and regulations related to the amount and/or timing of income, deductions and tax credits. There can be no assurance that the outcome of the examinations will be favorable. In certain circumstances where we elect to appeal the results of an examination, we may be required to make tax assessment payments to proceed with the administrative appeal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time-vested restricted stock units and unvested restricted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4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6"/>
                <w:szCs w:val="16"/>
                <w:color w:val="auto"/>
              </w:rPr>
            </w:pPr>
          </w:p>
        </w:tc>
        <w:tc>
          <w:tcPr>
            <w:tcW w:w="280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7"/>
        </w:trPr>
        <w:tc>
          <w:tcPr>
            <w:tcW w:w="45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3"/>
          </w:tcPr>
          <w:p>
            <w:pPr>
              <w:jc w:val="center"/>
              <w:ind w:left="556"/>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0" w:type="dxa"/>
            <w:vAlign w:val="bottom"/>
            <w:gridSpan w:val="5"/>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124,778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125,806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245,615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number of common shares outstanding -</w:t>
            </w: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244,592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243,863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243,566</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156"/>
        </w:trPr>
        <w:tc>
          <w:tcPr>
            <w:tcW w:w="45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number of common shares outstanding -</w:t>
            </w:r>
          </w:p>
        </w:tc>
        <w:tc>
          <w:tcPr>
            <w:tcW w:w="9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245,855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245,551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245,938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245,372</w:t>
            </w:r>
          </w:p>
        </w:tc>
        <w:tc>
          <w:tcPr>
            <w:tcW w:w="0" w:type="dxa"/>
            <w:vAlign w:val="bottom"/>
          </w:tcPr>
          <w:p>
            <w:pPr>
              <w:spacing w:after="0"/>
              <w:rPr>
                <w:sz w:val="1"/>
                <w:szCs w:val="1"/>
                <w:color w:val="auto"/>
              </w:rPr>
            </w:pPr>
          </w:p>
        </w:tc>
      </w:tr>
      <w:tr>
        <w:trPr>
          <w:trHeight w:val="216"/>
        </w:trPr>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68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5680" w:type="dxa"/>
            <w:vAlign w:val="bottom"/>
            <w:gridSpan w:val="2"/>
            <w:shd w:val="clear" w:color="auto" w:fill="CCEEFF"/>
          </w:tcPr>
          <w:p>
            <w:pPr>
              <w:jc w:val="right"/>
              <w:ind w:right="4148"/>
              <w:spacing w:after="0"/>
              <w:rPr>
                <w:sz w:val="20"/>
                <w:szCs w:val="20"/>
                <w:color w:val="auto"/>
              </w:rPr>
            </w:pPr>
            <w:r>
              <w:rPr>
                <w:rFonts w:ascii="Times New Roman" w:cs="Times New Roman" w:eastAsia="Times New Roman" w:hAnsi="Times New Roman"/>
                <w:sz w:val="18"/>
                <w:szCs w:val="18"/>
                <w:color w:val="auto"/>
              </w:rPr>
              <w:t>Share-based awards</w:t>
            </w:r>
          </w:p>
        </w:tc>
        <w:tc>
          <w:tcPr>
            <w:tcW w:w="176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8"/>
                <w:szCs w:val="18"/>
                <w:color w:val="auto"/>
              </w:rPr>
              <w:t>367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8"/>
                <w:szCs w:val="18"/>
                <w:color w:val="auto"/>
              </w:rPr>
              <w:t>290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19,978</w:t>
            </w:r>
          </w:p>
        </w:tc>
        <w:tc>
          <w:tcPr>
            <w:tcW w:w="0" w:type="dxa"/>
            <w:vAlign w:val="bottom"/>
          </w:tcPr>
          <w:p>
            <w:pPr>
              <w:spacing w:after="0"/>
              <w:rPr>
                <w:sz w:val="1"/>
                <w:szCs w:val="1"/>
                <w:color w:val="auto"/>
              </w:rPr>
            </w:pP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(25,746)</w:t>
            </w:r>
          </w:p>
        </w:tc>
        <w:tc>
          <w:tcPr>
            <w:tcW w:w="0" w:type="dxa"/>
            <w:vAlign w:val="bottom"/>
          </w:tcPr>
          <w:p>
            <w:pPr>
              <w:spacing w:after="0"/>
              <w:rPr>
                <w:sz w:val="1"/>
                <w:szCs w:val="1"/>
                <w:color w:val="auto"/>
              </w:rPr>
            </w:pPr>
          </w:p>
        </w:tc>
      </w:tr>
      <w:tr>
        <w:trPr>
          <w:trHeight w:val="175"/>
        </w:trPr>
        <w:tc>
          <w:tcPr>
            <w:tcW w:w="4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(25,725)</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at June 30, 2022</w:t>
            </w:r>
          </w:p>
        </w:tc>
        <w:tc>
          <w:tcPr>
            <w:tcW w:w="180" w:type="dxa"/>
            <w:vAlign w:val="bottom"/>
            <w:tcBorders>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20" w:type="dxa"/>
            <w:vAlign w:val="bottom"/>
            <w:gridSpan w:val="8"/>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Accumulated other comprehensive income (loss) at December 31,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957"/>
              <w:spacing w:after="0"/>
              <w:rPr>
                <w:sz w:val="20"/>
                <w:szCs w:val="20"/>
                <w:color w:val="auto"/>
              </w:rPr>
            </w:pPr>
            <w:r>
              <w:rPr>
                <w:rFonts w:ascii="Times New Roman" w:cs="Times New Roman" w:eastAsia="Times New Roman" w:hAnsi="Times New Roman"/>
                <w:sz w:val="18"/>
                <w:szCs w:val="18"/>
                <w:color w:val="auto"/>
                <w:w w:val="99"/>
              </w:rPr>
              <w:t>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27,270</w:t>
            </w:r>
          </w:p>
        </w:tc>
        <w:tc>
          <w:tcPr>
            <w:tcW w:w="0" w:type="dxa"/>
            <w:vAlign w:val="bottom"/>
          </w:tcPr>
          <w:p>
            <w:pPr>
              <w:spacing w:after="0"/>
              <w:rPr>
                <w:sz w:val="1"/>
                <w:szCs w:val="1"/>
                <w:color w:val="auto"/>
              </w:rPr>
            </w:pPr>
          </w:p>
        </w:tc>
      </w:tr>
      <w:tr>
        <w:trPr>
          <w:trHeight w:val="22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9"/>
              </w:rPr>
              <w:t>(98)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(11,260)</w:t>
            </w: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(loss)</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957"/>
              <w:spacing w:after="0"/>
              <w:rPr>
                <w:sz w:val="20"/>
                <w:szCs w:val="20"/>
                <w:color w:val="auto"/>
              </w:rPr>
            </w:pPr>
            <w:r>
              <w:rPr>
                <w:rFonts w:ascii="Times New Roman" w:cs="Times New Roman" w:eastAsia="Times New Roman" w:hAnsi="Times New Roman"/>
                <w:sz w:val="18"/>
                <w:szCs w:val="18"/>
                <w:color w:val="auto"/>
                <w:w w:val="99"/>
              </w:rPr>
              <w:t>52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0" w:type="dxa"/>
            <w:vAlign w:val="bottom"/>
          </w:tcPr>
          <w:p>
            <w:pPr>
              <w:spacing w:after="0"/>
              <w:rPr>
                <w:sz w:val="1"/>
                <w:szCs w:val="1"/>
                <w:color w:val="auto"/>
              </w:rPr>
            </w:pP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at June 30, 2021</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center"/>
              <w:ind w:left="937"/>
              <w:spacing w:after="0"/>
              <w:rPr>
                <w:sz w:val="20"/>
                <w:szCs w:val="20"/>
                <w:color w:val="auto"/>
              </w:rPr>
            </w:pPr>
            <w:r>
              <w:rPr>
                <w:rFonts w:ascii="Times New Roman" w:cs="Times New Roman" w:eastAsia="Times New Roman" w:hAnsi="Times New Roman"/>
                <w:sz w:val="18"/>
                <w:szCs w:val="18"/>
                <w:color w:val="auto"/>
                <w:w w:val="99"/>
              </w:rPr>
              <w:t>(25)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5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June 30, 2022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21,186</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25,787</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76,206</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239,765</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372,924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344,442</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365,628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500" w:type="dxa"/>
            <w:vAlign w:val="bottom"/>
          </w:tcPr>
          <w:p>
            <w:pPr>
              <w:spacing w:after="0"/>
              <w:rPr>
                <w:sz w:val="10"/>
                <w:szCs w:val="10"/>
                <w:color w:val="auto"/>
              </w:rPr>
            </w:pPr>
          </w:p>
        </w:tc>
        <w:tc>
          <w:tcPr>
            <w:tcW w:w="12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273,251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30,691</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178,826</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231,796</w:t>
            </w:r>
          </w:p>
        </w:tc>
        <w:tc>
          <w:tcPr>
            <w:tcW w:w="0" w:type="dxa"/>
            <w:vAlign w:val="bottom"/>
          </w:tcPr>
          <w:p>
            <w:pPr>
              <w:spacing w:after="0"/>
              <w:rPr>
                <w:sz w:val="1"/>
                <w:szCs w:val="1"/>
                <w:color w:val="auto"/>
              </w:rPr>
            </w:pPr>
          </w:p>
        </w:tc>
      </w:tr>
      <w:tr>
        <w:trPr>
          <w:trHeight w:val="223"/>
        </w:trPr>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531,430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242,711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it is not more likely than not that we will be required to sell these investments before recovery of their amortized cost bases.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63,103</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5 years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465,528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463,338</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the issuers may have the right to call or prepay obligations without call or prepayment penalties.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the amortized cost and the fair market value of our held-to-maturity government bond (Level 1) maturing within a year was $4.4 million and $4.5 million, respectively. As of December 31, 2021, the amortized cost and the fair market value of our held-to-maturity government bond (Level 1) maturing within a year was $4.7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and six months ended June 30, 2022, we sold receivables totaling $73.3 million and $165.5 million, net of discounts and fees of $0.2 million and $0.4 million, respectively. For the three and six months ended June 30, 2021, we sold receivables totaling $105.6 million and $211.9 million, net of discounts and fees of $0.3 million and $0.6 million, respectively.</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5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213,942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218,140</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1,711,560</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6,573,933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6,277,684</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232,251</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74,662</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9,042,166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8,641,716</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(5,982,188)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(5,770,658)</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3,059,978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2,871,058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40" w:type="dxa"/>
            <w:vAlign w:val="bottom"/>
          </w:tcPr>
          <w:p>
            <w:pPr>
              <w:spacing w:after="0"/>
              <w:rPr>
                <w:sz w:val="17"/>
                <w:szCs w:val="17"/>
                <w:color w:val="auto"/>
              </w:rPr>
            </w:pPr>
          </w:p>
        </w:tc>
        <w:tc>
          <w:tcPr>
            <w:tcW w:w="2760" w:type="dxa"/>
            <w:vAlign w:val="bottom"/>
            <w:gridSpan w:val="6"/>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150,999</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139,445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299,038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274,677</w:t>
            </w:r>
          </w:p>
        </w:tc>
        <w:tc>
          <w:tcPr>
            <w:tcW w:w="0" w:type="dxa"/>
            <w:vAlign w:val="bottom"/>
          </w:tcPr>
          <w:p>
            <w:pPr>
              <w:spacing w:after="0"/>
              <w:rPr>
                <w:sz w:val="1"/>
                <w:szCs w:val="1"/>
                <w:color w:val="auto"/>
              </w:rPr>
            </w:pPr>
          </w:p>
        </w:tc>
      </w:tr>
      <w:tr>
        <w:trPr>
          <w:trHeight w:val="702"/>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24"/>
                <w:szCs w:val="24"/>
                <w:color w:val="auto"/>
              </w:rPr>
            </w:pPr>
          </w:p>
        </w:tc>
        <w:tc>
          <w:tcPr>
            <w:tcW w:w="1580" w:type="dxa"/>
            <w:vAlign w:val="bottom"/>
            <w:gridSpan w:val="2"/>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150,883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117,741</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38,957</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plan obligations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65,409</w:t>
            </w:r>
          </w:p>
        </w:tc>
        <w:tc>
          <w:tcPr>
            <w:tcW w:w="0" w:type="dxa"/>
            <w:vAlign w:val="bottom"/>
          </w:tcPr>
          <w:p>
            <w:pPr>
              <w:spacing w:after="0"/>
              <w:rPr>
                <w:sz w:val="1"/>
                <w:szCs w:val="1"/>
                <w:color w:val="auto"/>
              </w:rPr>
            </w:pPr>
          </w:p>
        </w:tc>
      </w:tr>
      <w:tr>
        <w:trPr>
          <w:trHeight w:val="223"/>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385,109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422,892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short-term borrowings and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$30.0 million revolving credit facility, applicable bank rate plus 1.11% (1)</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applicable bank rate plus 1.77%, due April 2023</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47,064</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1.85%, due April 2024 (2)</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applicable bank rate plus 1.98%, due December 2028</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 (3)</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(4)</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0.86%, due June 2022</w:t>
            </w: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0.60%, due July 2022</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1.30%, due July 2023</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79,075</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1.35%, due December 2024</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148,592</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113,834</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LIBOR plus 1.10%, due March 2024 (5)</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LIBOR plus 0.80%, due June 2025 (6)</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75"/>
        </w:trPr>
        <w:tc>
          <w:tcPr>
            <w:tcW w:w="7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$250.0 million senior secured revolving credit facility, LIBOR plus 1.25% - 1.75%, due July 2023</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(Singapore) (7)</w:t>
            </w:r>
          </w:p>
        </w:tc>
        <w:tc>
          <w:tcPr>
            <w:tcW w:w="2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Credit facility, TAIFX plus the applicable bank rate, due December 2024 (Taiwan) (8)</w:t>
            </w: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4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$600.0 million senior secured revolving credit facility, applicable bank rate plus 1.75%, due March</w:t>
            </w: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43"/>
        </w:trPr>
        <w:tc>
          <w:tcPr>
            <w:tcW w:w="7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2027 (Singapore) (7)</w:t>
            </w:r>
          </w:p>
        </w:tc>
        <w:tc>
          <w:tcPr>
            <w:tcW w:w="2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1,116,296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1,146,775</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(153,008)</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984,988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renewed our revolving credit facility agreement for a one-year term with availability of $30.0 million. Principal is payable at maturity or six months after draw of funds, whichever is sooner, and interest is payable monthly in arrears. As of June 30, 2022, $30.0 million was available to be drawn.</w:t>
      </w:r>
    </w:p>
    <w:p>
      <w:pPr>
        <w:spacing w:after="0" w:line="147" w:lineRule="exact"/>
        <w:rPr>
          <w:rFonts w:ascii="Times New Roman" w:cs="Times New Roman" w:eastAsia="Times New Roman" w:hAnsi="Times New Roman"/>
          <w:sz w:val="18"/>
          <w:szCs w:val="18"/>
          <w:color w:val="auto"/>
        </w:rPr>
      </w:pPr>
    </w:p>
    <w:p>
      <w:pPr>
        <w:ind w:left="660" w:right="20" w:hanging="328"/>
        <w:spacing w:after="0" w:line="314"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80 billion term loan agreement with the option to borrow and re-borrow the funds up to six times per year through April 2024. Principal is payable at maturity, and interest is payable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monthly, at a fixed rate of 1.85%. As of June 30, 2022,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$62 million, was available to be drawn.</w:t>
      </w:r>
    </w:p>
    <w:p>
      <w:pPr>
        <w:spacing w:after="0" w:line="199" w:lineRule="exact"/>
        <w:rPr>
          <w:sz w:val="20"/>
          <w:szCs w:val="20"/>
          <w:color w:val="auto"/>
        </w:rPr>
      </w:pPr>
    </w:p>
    <w:p>
      <w:pPr>
        <w:jc w:val="both"/>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we entered into a term loan agreement with availability of $200.0 million. The loan will mature seven years from the date of the first drawdown, which occurred in December 2021 for $50.0 million. During the six months ended June 30, 2022, we borrowed the remaining $150.0 million under this loan. Principal is payable in semiannual installments after a three-year grace period from the date of the first drawdown. Interest is payable quarterly at a fixed rate of 2.12%.</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Interest as of June 30, 2022 is at an annual base rate equal to the Tokyo Interbank Offered Rate plus 0.15% to 0.30% (weighted average of 0.27% as of June 30, 2022). As of June 30, 2022, $3.7 million was available to be drawn.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entered into a borrowing arrangement which includes a $20.0 million term loan and a $30.0 million term loan. For each term loan, principal is payable in semiannual installments of $0.5 million, with the remaining balance due at maturity. Interest is payable quarterly at an annual base rate equal to the London Interbank Offered Rate, as administered by the International Exchange Benchmark Administration (“LIBOR”), plus 1.10% (weighted average of 3.13% as of June 30, 2022).</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borrowed $40.0 million under two $20.0 million term loans. For each term loan, principal is payable in semiannual installments of $0.5 million, with the remaining balance due at maturity. Interest is payable quarterly at an annual base rate equal to LIBOR plus 0.80% (weighted average of 2.89% as of June 30, 2022).</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2018, our subsidiary, Amkor Technology Singapore Holding Pte. Ltd. (“ATSH”), entered into a $250.0 million senior secured revolving credit facility. In March 2022, this agreement was terminated and replaced with a $600.0 million senior secured revolving credit facility entered into by ATSH (the “2022 Singapore Revolver”). The 2022 Singapore Revolver is guaranteed by Amkor Technology, Inc. (“ATI”), Amkor Technology Taiwan Ltd. (“ATT”) and Amkor Advanced Technology Taiwan, Inc. (“AATT”). The maximum borrowing capacity under the 2022 Singapore Revolver is limited to a base amount equal to the lesser of: (1) $600.0 million; and (2) $250.0 million plus a variable amount equal to 37.5% of our consolidated accounts receivable balance. As of June 30, 2022, $600.0 million was available for future borrowings under the 2022 Singapore Revolver.</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our subsidiary, ATT, entered into a $56.0 million borrowing arrangement (the “ATT Loan”). This arrangement included a $20.0 million term loan and a $36.0 million revolving credit facility. In March 2022, in connection with our entry into the 2022 Singapore Revolver, the ATT Loan was amended to reduce the availability of the revolving credit facility from $36.0 million to $15.0 million. As of June 30, 2022, $15.0 million was available for future borrowings under such credit facility.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June 30, 2022 the collateralized debt balance was $535.1 million, of which $326.9 million of assets were pledged as collateral.</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of ATI is structurally subordinated in right of payment to all existing and future debt and other liabilities of our subsidiaries. From time to time, ATI, ATT, AATT and ATSH guarantee certain debt of our subsidiaries.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4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6"/>
                <w:szCs w:val="16"/>
                <w:color w:val="auto"/>
              </w:rPr>
            </w:pPr>
          </w:p>
        </w:tc>
        <w:tc>
          <w:tcPr>
            <w:tcW w:w="280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13,535</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4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44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expense</w:t>
            </w:r>
          </w:p>
        </w:tc>
        <w:tc>
          <w:tcPr>
            <w:tcW w:w="106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5,554</w:t>
            </w:r>
          </w:p>
        </w:tc>
        <w:tc>
          <w:tcPr>
            <w:tcW w:w="120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5,239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13,503</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and December 31, 2021,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740" w:type="dxa"/>
            <w:vAlign w:val="bottom"/>
            <w:gridSpan w:val="2"/>
          </w:tcPr>
          <w:p>
            <w:pPr>
              <w:ind w:left="38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w:t>
            </w:r>
          </w:p>
        </w:tc>
        <w:tc>
          <w:tcPr>
            <w:tcW w:w="174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396,946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Pr>
          <w:p>
            <w:pPr>
              <w:spacing w:after="0"/>
              <w:rPr>
                <w:sz w:val="20"/>
                <w:szCs w:val="20"/>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expenses</w:t>
            </w: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forward contracts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2022, the derivatives resulted in a net loss of $42.8 million and $65.1 million, respectively, which were offset by the foreign currency gains associated with the underlying net liabilities. For the three and six months ended June 30, 2021, the derivatives resulted in a net loss of $0.9 million and $35.8 million, respectively, which were offset by the foreign currency gains associated with the underlying net liabilities.</w:t>
      </w: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financial instruments that are not recorded at fair value on a recurring basis: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20" w:type="dxa"/>
            <w:vAlign w:val="bottom"/>
          </w:tcPr>
          <w:p>
            <w:pPr>
              <w:spacing w:after="0"/>
              <w:rPr>
                <w:sz w:val="16"/>
                <w:szCs w:val="16"/>
                <w:color w:val="auto"/>
              </w:rPr>
            </w:pPr>
          </w:p>
        </w:tc>
        <w:tc>
          <w:tcPr>
            <w:tcW w:w="272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520,769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555,655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520,436</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588,449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617,560</w:t>
            </w:r>
          </w:p>
        </w:tc>
      </w:tr>
      <w:tr>
        <w:trPr>
          <w:trHeight w:val="248"/>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1,137,996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we have entered into additional lease agreements that have not yet commenced of approximately $50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Amkor is one of the world’s leading providers of outsourced semiconductor packaging and test services. Our financial goal is profitable sales growth. To achieve this goal, we are focused on leveraging our leadership position in services for advanced technologies, optimizing utilization of existing assets, broadening our customer base and selectively growing our scale and scope through strategic investments.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an industry leader in developing and commercializing advanced packaging and test technologies. We believe these advanced technology solutions provide substantial value to our customers, particularly in the mobile communications market, where growth generally outpaces the overall semiconductor industry.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 chip packages. Interest in advanced packages for automotive applications is growing as well, largely due to new, data-intensive applications, which require increased pin count and performance. We believe that our technology leadership and this technology transition create significant growth opportunities for us.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look for opportunities in the advanced packaging and test areas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In addition, we are seeking to add new customers and to deepen our engagement with existing customers. This includes an expanded emphasis on the automotive and industrial end market, where semiconductor content continues to grow, and in the analog area for our mainstream wirebond technologies.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we identify attractive opportunities to grow our customer base and broaden the markets we serve through expansion of our operations, joint ventures, acquisitions and other strategic investments. For example, we are making preparations to deliver advanced system-in-package (“SiP”) modules and other packaging solutions from a new factory under development in Bac Ninh, Vietnam. We believe that the Bac Ninh site will provide customers with a cost-competitive high-volume manufacturing location and will be attractive to them for supply chain diversification. We believe that taking advantage of these opportunities helps to diversify our revenue streams, improve our profits, broaden our portfolio of services and maintain our technological leadership.</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or subsequent economic recovery.</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full effect of the ongoing Covid-19 pandemic is unknown, and there remains uncertainty related to the prolonged impact that the Covid-19 pandemic will have on the global economy, the semiconductor industry and our business, results of operations and financial condition. As previously disclosed, the Chinese government, as part of a broad effort to mitigate a rising number of Covid-19 cases in Shanghai, mandated a lockdown of our Shanghai factory beginning in March 2022. The Shanghai facility reopened during the second quarter and returned to normal operating levels in late June 2022. While growth was restrained during the three months ended June 30, 2022 due to the lockdown, with the return to normal operations, we anticipate higher than seasonal growth in net sales for the third quarter compared to the second quarter. Additionally, other national, regional and local governments have implemented, and are likely to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 For additional information regarding the potential impact of macroeconomic factors, the Covid-19 pandemic and other risks on our business, results of operations and financial condition, please refer to the “Risk Factors” section in Part II, Item 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June 30, 2022, we had cash and cash equivalents and short-term investments of $733.9 million and $375.1 million, respectively.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increased $98.3 million, or 7.0%, to $1,504.9 million for the three months ended June 30, 2022, compared to $1,406.5 million for the three months ended June 30, 2021. The increase was primarily due to continued recovery in the automotive and industrial end market, and a shift to cloud-based services in the computing end market.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three months ended June 30, 2022 decreased to 16.6%, compared to 19.4% for the three months ended June 30, 2021. The decrease in gross margin was primarily due to the government-mandated lockdown and related underutilization of our Shanghai factory during the second quarter of 2022 and an increase in the mix of products sold with higher material content, partially offset by foreign currency exchange rate movements.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decreased 150 basis points to 9.5% for the three months ended June 30, 2022 from 11.0% for the three months ended June 30, 2021. The decrease in our operating income margin was primarily due to the decrease in our gross margin discussed above, partially offset by disciplined cost control and a decrease in research and development expenses due to projects that moved into production.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$340.2 million for the six months ended June 30, 2022, compared to $273.6 million for the six months ended June 30, 2021. Our spending was primarily focused on investments in advanced packaging and test equipment.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$462.3 million for the six months ended June 30, 2022, compared to $456.3 million for the six months ended June 30, 2021. This increase was primarily due to higher net sales and operating profits and changes in working capital, offset by changes in advanced payments to our vendors and from our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35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332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4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90"/>
        </w:trPr>
        <w:tc>
          <w:tcPr>
            <w:tcW w:w="43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Materials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44.0 %</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r>
      <w:tr>
        <w:trPr>
          <w:trHeight w:val="21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r>
      <w:tr>
        <w:trPr>
          <w:trHeight w:val="219"/>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80" w:type="dxa"/>
            <w:vAlign w:val="bottom"/>
            <w:gridSpan w:val="4"/>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Pr>
          <w:p>
            <w:pPr>
              <w:spacing w:after="0"/>
              <w:rPr>
                <w:sz w:val="16"/>
                <w:szCs w:val="16"/>
                <w:color w:val="auto"/>
              </w:rPr>
            </w:pPr>
          </w:p>
        </w:tc>
      </w:tr>
      <w:tr>
        <w:trPr>
          <w:trHeight w:val="23"/>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1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r>
      <w:tr>
        <w:trPr>
          <w:trHeight w:val="196"/>
        </w:trPr>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00" w:type="dxa"/>
            <w:vAlign w:val="bottom"/>
            <w:gridSpan w:val="5"/>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1,504,868</w:t>
            </w:r>
          </w:p>
        </w:tc>
        <w:tc>
          <w:tcPr>
            <w:tcW w:w="3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1,406,535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65"/>
              <w:spacing w:after="0"/>
              <w:rPr>
                <w:sz w:val="20"/>
                <w:szCs w:val="20"/>
                <w:color w:val="auto"/>
              </w:rPr>
            </w:pPr>
            <w:r>
              <w:rPr>
                <w:rFonts w:ascii="Times New Roman" w:cs="Times New Roman" w:eastAsia="Times New Roman" w:hAnsi="Times New Roman"/>
                <w:sz w:val="16"/>
                <w:szCs w:val="16"/>
                <w:color w:val="auto"/>
              </w:rPr>
              <w:t>98,333</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7.0 %  $</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3,101,684</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2,732,685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368,999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13.5 %</w:t>
            </w:r>
          </w:p>
        </w:tc>
      </w:tr>
    </w:tbl>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 in net sales for the three and six months ended June 30, 2022 compared to the three and six months ended June 30, 2021, was primarily due to continued recovery in the automotive and industrial end market, and a shift to cloud-based services in the computing end market. The automotive and industrial end market represented 51% and 25% of the increase for the three and six months ended June 30, 2022, respectively. The computing end market represented 42% and 33% of the increase for the three and six months ended June 30, 2022, respectively. Additionally, 29% of the increase for the six months ended June 30, 2022 was attributable to the communications end market, driven primarily by content and market share gains within 5G smartphones. While we had significant increases during the three and six months ended June 30, 2022 compared to the three and six months ended June 30, 2021, our net sales were restrained by the government-mandated lockdown of our Shanghai factory during the second quarter of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8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86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249,155</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272,820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(23,665)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574,485</w:t>
            </w:r>
          </w:p>
        </w:tc>
        <w:tc>
          <w:tcPr>
            <w:tcW w:w="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538,354</w:t>
            </w:r>
          </w:p>
        </w:tc>
        <w:tc>
          <w:tcPr>
            <w:tcW w:w="4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36,131</w:t>
            </w: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3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19.4 %</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18.5 %</w:t>
            </w:r>
          </w:p>
        </w:tc>
        <w:tc>
          <w:tcPr>
            <w:tcW w:w="3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19.7 %</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upon product mix, utilization and seasonality. We have expanded our business in advanced SiP modules, which tend to have higher material costs when compared to our other products. As we continue to increase production of these higher material cost modules, there could be an impact on our profitability, depending on overall utilization.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decreased for the three and six months ended June 30, 2022 compared to the three and six months ended June 30, 2021, primarily due to the government-mandated lockdown and related underutilization of our Shanghai factory during the second quarter of 2022 and an increase in the mix of products sold with higher material content, partially offset by foreign currency exchange rate movements.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80" w:type="dxa"/>
            <w:vAlign w:val="bottom"/>
            <w:gridSpan w:val="4"/>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4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Selling, general and</w:t>
            </w: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68,868</w:t>
            </w:r>
          </w:p>
        </w:tc>
        <w:tc>
          <w:tcPr>
            <w:tcW w:w="34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74,189</w:t>
            </w:r>
          </w:p>
        </w:tc>
        <w:tc>
          <w:tcPr>
            <w:tcW w:w="3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(5,321)</w:t>
            </w:r>
          </w:p>
        </w:tc>
        <w:tc>
          <w:tcPr>
            <w:tcW w:w="10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  $</w:t>
            </w:r>
          </w:p>
        </w:tc>
        <w:tc>
          <w:tcPr>
            <w:tcW w:w="84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145,827</w:t>
            </w:r>
          </w:p>
        </w:tc>
        <w:tc>
          <w:tcPr>
            <w:tcW w:w="28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150,957</w:t>
            </w:r>
          </w:p>
        </w:tc>
        <w:tc>
          <w:tcPr>
            <w:tcW w:w="4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ind w:right="504"/>
              <w:spacing w:after="0"/>
              <w:rPr>
                <w:sz w:val="20"/>
                <w:szCs w:val="20"/>
                <w:color w:val="auto"/>
              </w:rPr>
            </w:pPr>
            <w:r>
              <w:rPr>
                <w:rFonts w:ascii="Times New Roman" w:cs="Times New Roman" w:eastAsia="Times New Roman" w:hAnsi="Times New Roman"/>
                <w:sz w:val="16"/>
                <w:szCs w:val="16"/>
                <w:color w:val="auto"/>
              </w:rPr>
              <w:t>(5,130)</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administrative</w:t>
            </w:r>
          </w:p>
        </w:tc>
        <w:tc>
          <w:tcPr>
            <w:tcW w:w="2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2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and six months ended June 30, 2022 compared to the three and six months ended June 30, 2021, primarily due to decreased employee compensation costs and costs incurred for factory consolidation efforts in Japan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740" w:type="dxa"/>
            <w:vAlign w:val="bottom"/>
            <w:gridSpan w:val="4"/>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00" w:type="dxa"/>
            <w:vAlign w:val="bottom"/>
            <w:gridSpan w:val="4"/>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20" w:type="dxa"/>
            <w:vAlign w:val="bottom"/>
          </w:tcPr>
          <w:p>
            <w:pPr>
              <w:spacing w:after="0"/>
              <w:rPr>
                <w:sz w:val="16"/>
                <w:szCs w:val="16"/>
                <w:color w:val="auto"/>
              </w:rPr>
            </w:pPr>
          </w:p>
        </w:tc>
      </w:tr>
      <w:tr>
        <w:trPr>
          <w:trHeight w:val="23"/>
        </w:trPr>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0"/>
        </w:trPr>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Borders>
              <w:bottom w:val="single" w:sz="8" w:color="auto"/>
            </w:tcBorders>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37,478</w:t>
            </w:r>
          </w:p>
        </w:tc>
        <w:tc>
          <w:tcPr>
            <w:tcW w:w="3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43,516</w:t>
            </w:r>
          </w:p>
        </w:tc>
        <w:tc>
          <w:tcPr>
            <w:tcW w:w="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rPr>
              <w:t>(6,038)</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(13.9)%  $</w:t>
            </w:r>
          </w:p>
        </w:tc>
        <w:tc>
          <w:tcPr>
            <w:tcW w:w="8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75,841</w:t>
            </w:r>
          </w:p>
        </w:tc>
        <w:tc>
          <w:tcPr>
            <w:tcW w:w="2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87,834</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64"/>
              <w:spacing w:after="0"/>
              <w:rPr>
                <w:sz w:val="20"/>
                <w:szCs w:val="20"/>
                <w:color w:val="auto"/>
              </w:rPr>
            </w:pPr>
            <w:r>
              <w:rPr>
                <w:rFonts w:ascii="Times New Roman" w:cs="Times New Roman" w:eastAsia="Times New Roman" w:hAnsi="Times New Roman"/>
                <w:sz w:val="16"/>
                <w:szCs w:val="16"/>
                <w:color w:val="auto"/>
              </w:rPr>
              <w:t>(11,993)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 Research and development expenses for the three and six months ended June 30, 2022 decreased compared to the three and six months ended June 30, 2021 due to projects that moved into production, partially offset by new development projects in advanced packaging technologies, primarily advanced SiP modules.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40" w:type="dxa"/>
            <w:vAlign w:val="bottom"/>
          </w:tcPr>
          <w:p>
            <w:pPr>
              <w:spacing w:after="0"/>
              <w:rPr>
                <w:sz w:val="16"/>
                <w:szCs w:val="16"/>
                <w:color w:val="auto"/>
              </w:rPr>
            </w:pPr>
          </w:p>
        </w:tc>
      </w:tr>
      <w:tr>
        <w:trPr>
          <w:trHeight w:val="23"/>
        </w:trPr>
        <w:tc>
          <w:tcPr>
            <w:tcW w:w="2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2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96"/>
        </w:trPr>
        <w:tc>
          <w:tcPr>
            <w:tcW w:w="2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4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22"/>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14,593</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(11,855)</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retirement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09"/>
        </w:trPr>
        <w:tc>
          <w:tcPr>
            <w:tcW w:w="2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(6,116)</w:t>
            </w: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15,604</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25,430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1"/>
        </w:trPr>
        <w:tc>
          <w:tcPr>
            <w:tcW w:w="2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increased for the three and six months ended June 30, 2022 compared to the three and six months ended June 30, 2021, primarily due to an increase in our finance lease obligation balance.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increased for the three and six months ended June 30, 2022 compared to the three and six months ended June 30, 2021, primarily due to higher interest rates on our available-for-sale debt investments.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foreign currency (gain) loss, net for the three and six months ended June 30, 2022 compared to the three and six months ended June 30, 2021 were due to foreign currency exchange rate movements, mainly the Japanese yen, and the associated impact on our net monetary exposure at our foreign subsidiaries.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420" w:type="dxa"/>
            <w:vAlign w:val="bottom"/>
          </w:tcPr>
          <w:p>
            <w:pPr>
              <w:spacing w:after="0"/>
              <w:rPr>
                <w:sz w:val="16"/>
                <w:szCs w:val="16"/>
                <w:color w:val="auto"/>
              </w:rPr>
            </w:pPr>
          </w:p>
        </w:tc>
        <w:tc>
          <w:tcPr>
            <w:tcW w:w="3280" w:type="dxa"/>
            <w:vAlign w:val="bottom"/>
            <w:gridSpan w:val="5"/>
          </w:tcPr>
          <w:p>
            <w:pPr>
              <w:jc w:val="center"/>
              <w:ind w:right="34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3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10,788</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15,989</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40,516</w:t>
            </w:r>
          </w:p>
        </w:tc>
        <w:tc>
          <w:tcPr>
            <w:tcW w:w="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27,656</w:t>
            </w:r>
          </w:p>
        </w:tc>
        <w:tc>
          <w:tcPr>
            <w:tcW w:w="3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12,860</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changed for the three and six months ended June 30, 2022 compared to the three and six months ended June 30, 2021, primarily due to changes in income before tax and mix of earnings.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and 2021, our subsidiaries in Korea and Singapore operated under various tax holidays. The tax holiday granted in the Philippines expired in December 2021. As these tax holidays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earned in these jurisdictions will be subject to higher statutory income tax rates, which may cause our effective tax rate to increase.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and other financial requirements for at least the next twelve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under any stock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Form 10-Q.</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we had cash and cash equivalents and short-term investments of $1,109.1 million. Included in our cash and short-term investments balances as of June 30, 2022 is $946.4 million held offshore by our foreign subsidiaries. We have the ability to access cash held offshore by our foreign subsidiaries primarily through the repayment of intercompany debt obligations. If we were to distribute this offshore cash to the U.S. as dividends from our foreign subsidiaries, the dividends generally would not be subject to U.S. federal income tax, but the distributions may be subject to foreign withholding and state income taxes.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June 30, 2022, our net liability associated with unrecognized tax benefits is $36.4 million. Due to the uncertainty regarding the amount and timing of any future cash outflows associated with our unrecognized tax benefits, we are unable to reasonably estimate the amount and period of ultimate settlement, if any, with the various taxing authorities.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six months ended June 30, 2022 and 2021, we sold accounts receivable totaling $165.5 million and $211.9 million, net of discounts and fees of $0.4 million and $0.6 million, respectively.</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and (2) $250 million plus a variable amount equal to 37.5% of our consolidated accounts receivable balance. As of June 30, 2022, we had availability of $600.0 million. As of June 30, 2022, our foreign subsidiaries had $645.0 million available for future borrowings under revolving credit facilities, including the 2022 Singapore Revolver, and $65.3 million available to be borrowed under term loan credit facilities for working capital purposes and capital expenditures. For additional information regarding the 2022 Singapore Revolver, please refer to Note 11 to our Consolidated Financial Statements in Part 1,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we had debt of $1,109.2 million, with $128.0 million payable within 12 months. As of June 30, 2022, the interest payment obligations, based on stated coupon rates for fixed rate debt and interest rates applicable at June 30, 2022 for variable rate debt, were $223.6 million during the remaining term of the debt. Interest payment obligations payable within 12 months is $44.9 million. We were in compliance with all debt covenants as of June 30, 2022, and we expect to remain in compliance with these covenants for at least the next twelve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debt of ATI is structurally subordinated in right of payment to all existing and future debt and other liabilities of our subsidiaries. From time to time, ATI, ATT, AATT and ATSH guarantee certain debt of our subsidiaries.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that covers certain employees that were employed prior to August 1, 2015. As of June 30, 2022, the severance liability was $67.7 million, with $7.9 million payable within 12 months.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 From time to time, we may offer employees the option to convert from the severance plan to the defined contribution plan, which would require us to fund the converted portion of the liability. In addition, as of June 30, 2022, we had foreign pension plan obligations of $50.1 million, for which the timing and actual amount of impact on our future cash flow is uncertain. For additional information regarding our pension and severance plans, please refer to Note 12 to our Consolidated Financial Statements in Part 1, Item 1 of this Form 10-Q and in Note 12 to the 2021 Form 10-K.</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June 30, 2022, our total remaining operating lease obligations and finance lease obligations were $155.7 million and $110.4 million, respectively, with $72.3 million and $46.3 million payable within 12 months, respectively. The lease obligations represent our future minimum lease payments including interest payments.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June 30, 2022, the purchase obligations were $679.6 million, with $584.0 million payable within 12 months.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paid total quarterly cash dividends of $24.5 million.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previously adopted a stock repurchase program (the “Stock Repurchase Program”) authorizing the repurchase of up to $300.0 million of our common stock, exclusive of any fees, commissions or other expenses. Under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Stock Repurchase Program since 2012. At June 30, 2022, approximately $91.6 million was available to repurchase common stock pursuant to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six months ended June 30, 2022, our capital expenditures totaled $340.2 million.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that our 2022 capital expenditures will be approximately $950 million, approximately $100 million of which we expect to spend on the construction of our new Vietnam factory. Ultimately, the amount of our 2022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six months ended June 30, 2022 and 2021,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020" w:type="dxa"/>
            <w:vAlign w:val="bottom"/>
            <w:gridSpan w:val="3"/>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4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r>
      <w:tr>
        <w:trPr>
          <w:trHeight w:val="196"/>
        </w:trPr>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40" w:type="dxa"/>
            <w:vAlign w:val="bottom"/>
            <w:gridSpan w:val="2"/>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462,269</w:t>
            </w:r>
          </w:p>
        </w:tc>
        <w:tc>
          <w:tcPr>
            <w:tcW w:w="11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456,331</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(526,672)</w:t>
            </w:r>
          </w:p>
        </w:tc>
        <w:tc>
          <w:tcPr>
            <w:tcW w:w="1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(321,495)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w:t>
            </w:r>
          </w:p>
        </w:tc>
        <w:tc>
          <w:tcPr>
            <w:tcW w:w="1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(97,539)</w:t>
            </w:r>
          </w:p>
        </w:tc>
      </w:tr>
    </w:tbl>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six months ended June 30, 2022 increased by $5.9 million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primarily due to higher net sales and operating profits and changes in working capital, offset by changes in advanced payments to our vendors and from our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six months ended June 30, 2022 increased by $205.2 million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2021, primarily due to increased purchases of property, plant and equipment, increased net payments for foreign exchange forward contracts, and increased net payments for short-term investments. Payments for property, plant and equipment can fluctuate based on timing of purchase, receipt and acceptance of equipment.</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six months ended June 30, 2022 was primarily due to net debt repayments in Japan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payment of our quarterly dividends, offset by net debt borrowings in Korea and China. The net cash used in financing activities for the six months ended June 30, 2021 was primarily due to net debt repayments in Japan and the payment of our quarterly dividends.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prepared in accordance with U.S. GAAP, such as net cash provided by operating activities. Furthermore, our definition of free cash flow may not be comparable to similarly titled measures reported by other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40" w:type="dxa"/>
            <w:vAlign w:val="bottom"/>
          </w:tcPr>
          <w:p>
            <w:pPr>
              <w:spacing w:after="0"/>
              <w:rPr>
                <w:sz w:val="16"/>
                <w:szCs w:val="16"/>
                <w:color w:val="auto"/>
              </w:rPr>
            </w:pPr>
          </w:p>
        </w:tc>
      </w:tr>
      <w:tr>
        <w:trPr>
          <w:trHeight w:val="23"/>
        </w:trPr>
        <w:tc>
          <w:tcPr>
            <w:tcW w:w="74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Borders>
              <w:bottom w:val="single" w:sz="8" w:color="auto"/>
            </w:tcBorders>
          </w:tcPr>
          <w:p>
            <w:pPr>
              <w:spacing w:after="0"/>
              <w:rPr>
                <w:sz w:val="16"/>
                <w:szCs w:val="16"/>
                <w:color w:val="auto"/>
              </w:rPr>
            </w:pPr>
          </w:p>
        </w:tc>
      </w:tr>
      <w:tr>
        <w:trPr>
          <w:trHeight w:val="196"/>
        </w:trPr>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4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462,269</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456,331</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(340,208)</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(273,617)</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23"/>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108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122,834</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184,963</w:t>
            </w:r>
          </w:p>
        </w:tc>
      </w:tr>
      <w:tr>
        <w:trPr>
          <w:trHeight w:val="20"/>
        </w:trPr>
        <w:tc>
          <w:tcPr>
            <w:tcW w:w="7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generally use natural hedging techniques to reduce foreign currency rate risk. We also use forward contracts to mitigate foreign currency risk of certain monetary assets or liabilities denominated in foreign currencies.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June 30, 2022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six months ended June 30, 2022 would have been approximately $15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six months ended June 30, 2022, approximately 85% of our net sales were denominated in U.S. dollars. Our remaining net sales were principally denominated in Japanese yen. For the six months ended June 30, 2022, approximately 50%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June 30, 2022 to assess the potential impact of fluctuations in exchange rates for all foreign denominated sales and operating expenses. Assuming that all foreign currencies appreciated 10% against the U.S. dollar, our operating income for the six months ended June 30, 2022 would have been approximately $65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The effect of foreign exchange rate translation for these entities was a loss of $24.0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$11.2 million for the six months ended June 30, 2022 and 2021, respectively, and was recognized as an adjustment to equity through other comprehensive income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a significant portion of our portfolio having maturity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June 30, 2022: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2022 -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58,208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106,101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77,365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85,367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69,304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625,001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1,021,346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968,721</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46,000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94,950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95,148</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7"/>
                <w:szCs w:val="17"/>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68,158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110,101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123,365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120,367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69,304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625,001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1,116,296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1,063,869</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4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June 30, 2022 and concluded those disclosure controls and procedures were effective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June 30, 2022. There have been no changes in our internal control over financial reporting that occurred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2021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section of this Form 10-Q. You should carefully consider the risks and uncertainties described below, together with all of the other information included in this Form 10-Q, in considering our business and prospects. Many of the following risks and uncertainties have been, and may continue to be, exacerbated by the Covid-19 pandemic and any worsening of the global business and economic environment as a result.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75"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our customers’ and vendors’ international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0"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w:t>
      </w:r>
    </w:p>
    <w:p>
      <w:pPr>
        <w:spacing w:after="0" w:line="108"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severance plan obligations associated with our manufacturing operations in Korea; and</w:t>
      </w:r>
    </w:p>
    <w:p>
      <w:pPr>
        <w:spacing w:after="0" w:line="143"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conditions or pandemics, such as the Covid-19 pandemic, impacting labor availability and operating capacity, capital availability, the supply chain and consumer demand for our customers’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other governments, such as tariffs, customs, duties, other restrictive trade barriers and national security, data privacy and cybersecurity, antitrust and competition, tax, currency and banking, labor and environmental, health and safety laws;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Company-Specific Risk Factors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automotive, consumer electronics, or computing, could have a material adverse effect on our business and operating results. During downturns, we have 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declines in global economic and financial conditions have harmed our business in the past, and future global downturns could materially and adversely affect our business. The Covid-19 pandemic and the effects of governmental initiatives to control the pandemic have adversely affected, and may continue to adversely affect, the economies and financial markets of many countries. Although the magnitude of any potential future impact of the Covid-19 pandemic on our business and operations remains uncertain, the continued spread, new variants or potential re-emergence of the Covid-19 pandemic or the occurrence of other epidemics or pandemics, and the imposition of related public health measures and travel and business restrictions may materially and adversely impact our business, financial condition, operating results and cash flows. In addition, we have experienced, and will continue to experience, disruptions to our business operations resulting from quarantines, self-isolations, or other movement and restrictions on the ability of our employees to perform their jobs that may impact our ability to meet customer commitments. As previously disclosed, the Chinese government, as part of a broad effort to mitigate a rising number of Covid-19 cases in Shanghai, mandated a lockdown of our Shanghai factory beginning in March 2022. The Shanghai facility reopened during the second quarter and returned to normal operating levels in late June 2022.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difficult to predict the timing, strength or duration of any economic disruption caused by the Covid-19 pandemic or which end markets will experience a slowdown or subsequent economic recovery which, in turn, makes it more challenging for us to forecast our operating results, make business decisions and identify risks that may materially affect our business, sources and uses of cash, financial condition and results of operations. Additionally, if industry conditions deteriorate, we could suffer significant losses, as we have in the past, that could materially and adversely impact our business, liquidity, results of operations, financial condition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and the Covid-19 pandemic has created extended lead times for some materials and equipment. To the extent the impact of the Covid-19 pandemic continues or worsens, we anticipate having greater difficulty obtaining, or waiting longer to obtain, certain equipment, supplies and other materials necessary for performance of our services or necessary to increase the services we provide to customers. Furthermore, fire, severe weather, earthquakes, flooding and tsunamis in the past have impacted the supply of specialty chemicals, substrates, silicon wafers, equipment and other supplies to the electronics industry.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 in Ukraine, could have a material adverse effect on our business, financial condition, results of operations and cash flows.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may move their business to other suppliers, and our reputation and business could be materially and adversely affected.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may cause lead times to extend beyond those normally required by equipment vendors, and the Covid-19 pandemic has created extended lead times for some equipment.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any of which could have a material adverse effect on our results of operations.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66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and government shutdowns, civil disturbances or international events;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 such as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factories and operations in various foreign jurisdictions and many of our customers’ and vendors’ operations are also located outside of the U.S.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and Taiwan. Additionally, we are preparing to offer packaging and test services from a new factory under development in Vietnam. Substantially all of our property, plant and equipment is located outside of the United States, and many of our customers and the vendors in our supply chain are also located outside the U.S. The following are some of the risks we face in doing business internationally:</w:t>
      </w:r>
    </w:p>
    <w:p>
      <w:pPr>
        <w:spacing w:after="0" w:line="12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such as Covid-19,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and environmental;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U.S. and in other jurisdictions;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Covid-19 pandemic has impacted, and may continue to impact, our operations and the operations of our customers and suppliers as a result of illness, quarantines, facility closures and travel and logistics restrictions in connection with the outbreak. For example, quarantine orders and orders restricting movement have adversely affected, and may in the future adversely affect, our operations in China, the Philippines and Malaysia.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financial condition.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face competition from contract foundries, such as Taiwan Semiconductor Manufacturing Company Limited and Samsung Electronics Co., Ltd.,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or foundries for packaging and test services or that our business, liquidity, results of operations, financial condition or cash flows will not be materially and adversely affected by such increased competition.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able to achieve consistently high-capacity utilization, and if we fail to do so, our gross margins may be negatively impacted.</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 adequately cover fixed costs, resulting in reduced profit levels or even significant losses, either of which may materially and adversely impact our business, liquidity,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while we generally purchase materials based on Amkor’s commitments to customer forecasts, and our customers are generally responsible for any unused materials we purchase based on such commitments, due to the Covid-19 pandemic and the resulting supply chain constraints and extended lead times, we have been placing an increasing number of our orders for materials in advance of customer forecasts. If we are unable to timely fulfill our customers’ orders, or if we are required to bear the cost of a substantial amount of unused materials, our margins, operating results, financial condition and cash flows could be materially and adversely affected.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w:t>
      </w:r>
    </w:p>
    <w:p>
      <w:pPr>
        <w:spacing w:after="0" w:line="1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and may be challenged, invalidated or circumvented.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the risk of economic damage claims and the risk of negative publicity if our packages fail</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and our business may be exposed to warranty claims, product return and liability risks, the risk of economic damage claims and the risk of negative publicity if our packages fail.</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paid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subsidiary in Korea maintains an unfunded severance plan, under which we have an accrued liability of $67.7 million as of June 30, 2022.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 We have made, and may in the future make, offers to some or all of the covered employees the option to convert from the severance plan to the defined contribution plan. Some employees have accepted previous offers, and future offers to make similar conversions could impact the timing of future payments, reducing our cash flow and materially and adversely affecting our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James J. Kim and members of his family can effectively determine or substantially influence the outcome of all matters requiring stockholder approval.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2022, James J. Kim, the Executive Chairman of our Board of Directors, Susan Y. Kim, the Executive Vice Chairman of our Board of Directors, and members of the Kim family and affiliates owned approximately 142.0 million shares, or approximately 58%, of our outstanding common stock. The Kim family also has options to acquire approximately 0.6 million shares. If the options are exercised, the Kim family’s total ownership would be an aggregate of approximately 142.6 million shares, or approximately 58%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The Convert Shares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impacted, and may continue to impact, the supply chain and consumer demand for our customers’ products and services, and the continued impact on the supply chain and consumer demand may ultimately have a material and adverse effect on our business, results of operations,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impacts of the Covid-19 pandemic have varied, and likely will continue to vary, by location, by industry and by end market. We, our suppliers and our customers have been and may continue to be disrupted by worker illness and absenteeism, quarantines and restrictions on employees’ ability to work, office and factory closures, disruptions to ports and other shipping infrastructure and border closures or other travel or health-related restrictions. There is considerable uncertainty regarding such restrictions and potential future governmental restrictions. Restrictions on our workforce or access to our manufacturing facilities, or similar limitations for our suppliers, or restrictions or disruptions of transportation, such as reduced availability of air transport, port closures, and increased border controls, could limit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capacity to meet customer demand and have a material adverse effect on our business, results of operations and financial condition. Such restrictions and efforts to contain the spread of Covid-19 have caused and may continue to cause disruptions to our supply chain in connection with the sourcing of equipment, supplies and other materials. The resumption of normal business operations after any such restrictions are lifted may be delayed or constrained by lingering effects of the Covid-19 pandemic on our suppliers or customers or both, and additional restrictions may be implemented in response to the emergence of new variants or re-emergence of Covid-19. Additionally, other national, regional, and local governments have implemented, and may continue to implement, restrictions to mitigate the spread of Covid-19, the emergence of new variants, or the re-emergence of Covid-19 in jurisdictions in which we, our customers, and our suppliers operate, and such restrictions may materially and adversely impact our operations and the operations of our customers and suppliers. We also remain subject to industry-wide supply constraints and inflationary price pressures, which have resulted in long lead times, rising prices and supply chain disruptions, and we expect these industry constraints and external pressures to persist throughout 2022.</w:t>
      </w:r>
    </w:p>
    <w:p>
      <w:pPr>
        <w:spacing w:after="0" w:line="13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spread of Covid-19 has caused us to modify our business practices (including corporate hygiene protocols at factories, restricting employee travel and employee work locations and cancelling physical participation in meetings, events and conferences), and we may take further actions as may be required by government authorities or that we determine to be in the best interests of our employees, customers and suppliers. There is no certainty that such measures will be sufficient to mitigate the current or future impacts of the Covid-19 pandemic, and our ability to perform critical functions could be harmed.</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this time, we are unable to predict the future impacts that the Covid-19 pandemic will have on our business, financial condition or results of operations due to various uncertainties, including the duration of the outbreak and the actions that may be taken by governmental authorities and other businesses in response to the Covid-19 pandemic.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June 30, 2022, our total debt balance was $1,109.2 million, of which $128.0 million was classified as a current liability and $535.1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 other long-term obligations out of our operating cash flows or refinance debt at or prior to maturity with the proceeds of debt or equity financings.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2022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The U.S. Federal Reserve has raised interest rates several times during 2022 and has signaled further rate increases in the near term.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63% of our net sales for the year ended December 31, 2021.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in our customers’ end markets may decrease demand for our customers’ products and services, thereby adversely impacting their demand for our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Other than the agreement with our Chief Executive Officer,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There is a risk that deficiencies may occur that could constitute significant deficiencies or, in the aggregate, a material weakness.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or disruptions to our operations. While we have not experienced a material information security breach in the past, we cannot be sure that such a breach will not occur in the future. The IT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our Japan operations’ information technology systems into our existing systems and processes. We face risks in connection with current and future projects to install or integrate new information technology systems or upgrade our existing systems. These risks include:</w:t>
      </w:r>
    </w:p>
    <w:p>
      <w:pPr>
        <w:spacing w:after="0" w:line="13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new proposals including establishing a global minimum corporate income tax (tested on a jurisdictional basis). Changes in U.S. or foreign tax laws, including new or modified guidance with respect to existing tax laws, could have a material adverse impact on our liquidity, results of operations, financial condition and cash flows.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and adversely affect our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and the European Union’s Restriction of Hazardous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gasses or 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also been an increase in public attention and industry and customer focus on the materials contained in semiconductor products, the environmental impact of semiconductor operations and the risk of chemical releases from such operations, climate change, sustainability and related environmental concerns.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greenhouse gas emissions, reductions in waste and wastewater from operations, additional reporting on the materials and components used in the products for which we perform our services, and the use of renewable energy sources in our factory operations. To comply with these additional requirements, we may need to procure additional equipment or make factory or process changes and our operating costs may increase.</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and Taiwan, and we have a new factory under development in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armed conflict, terrorist incidents and other hostilities in regions where we have facilities; and industrial accidents and other events, that could disrupt or even shutdown our operations. While our global manufacturing footprint allows us to shift production to other factories without substantial cost or production delays, certain of our services are currently performed using equipment located in one or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June 30, 2022.</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30</w:t>
            </w: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 May 31</w:t>
            </w:r>
          </w:p>
        </w:tc>
        <w:tc>
          <w:tcPr>
            <w:tcW w:w="29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June 30</w:t>
            </w: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91,586,032</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30, 2011, we announced that our Board of Directors had authorized the repurchase of up to $150.0 million of our common stock, exclusive of any fees, commissions or other expenses, under the Stock Repurchase Program. On February 1, 2012, we announced that our Board of Directors had authorized an additional $150.0 million for the repurchase of our common stock under the Stock Repurchase Program, resulting in a total repurchase authorization under the Stock Repurchase Program of $300.0 million. Pursuant to the Stock Repurchase Program, we made no common stock purchases for the three months ended June 30, 2022, and at June 30, 2022, approximately $91.6 million was available for repurchase. Repurchases of our common stock under the Stock Repurchase Program are funded with available cash, and the Stock Repurchase Program may be suspended or discontinued at any time.</w:t>
      </w:r>
    </w:p>
    <w:p>
      <w:pPr>
        <w:spacing w:after="0" w:line="37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620" w:type="dxa"/>
            <w:vAlign w:val="bottom"/>
            <w:gridSpan w:val="13"/>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5060" w:type="dxa"/>
            <w:vAlign w:val="bottom"/>
            <w:gridSpan w:val="12"/>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14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60" w:type="dxa"/>
            <w:vAlign w:val="bottom"/>
            <w:tcBorders>
              <w:bottom w:val="single" w:sz="8" w:color="auto"/>
            </w:tcBorders>
            <w:gridSpan w:val="12"/>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5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5060" w:type="dxa"/>
            <w:vAlign w:val="bottom"/>
            <w:gridSpan w:val="12"/>
          </w:tcPr>
          <w:p>
            <w:pPr>
              <w:spacing w:after="0" w:line="188" w:lineRule="exact"/>
              <w:rPr>
                <w:sz w:val="20"/>
                <w:szCs w:val="20"/>
                <w:color w:val="auto"/>
              </w:rPr>
            </w:pPr>
            <w:r>
              <w:rPr>
                <w:rFonts w:ascii="Times New Roman" w:cs="Times New Roman" w:eastAsia="Times New Roman" w:hAnsi="Times New Roman"/>
                <w:sz w:val="18"/>
                <w:szCs w:val="18"/>
                <w:color w:val="0000FF"/>
              </w:rPr>
              <w:t>Amended and Restated Amkor Technology, Inc. Non-Employee</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jc w:val="center"/>
              <w:ind w:left="1014"/>
              <w:spacing w:after="0" w:line="18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Director Compensation Policy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Officer of Amkor Technology, Inc., pursuant to Rule 13a-14(a)</w:t>
            </w:r>
          </w:p>
        </w:tc>
        <w:tc>
          <w:tcPr>
            <w:tcW w:w="540" w:type="dxa"/>
            <w:vAlign w:val="bottom"/>
            <w:gridSpan w:val="7"/>
          </w:tcPr>
          <w:p>
            <w:pPr>
              <w:ind w:left="60"/>
              <w:spacing w:after="0" w:line="156" w:lineRule="exact"/>
              <w:rPr>
                <w:sz w:val="20"/>
                <w:szCs w:val="20"/>
                <w:color w:val="auto"/>
              </w:rPr>
            </w:pPr>
            <w:r>
              <w:rPr>
                <w:rFonts w:ascii="Times New Roman" w:cs="Times New Roman" w:eastAsia="Times New Roman" w:hAnsi="Times New Roman"/>
                <w:sz w:val="18"/>
                <w:szCs w:val="18"/>
                <w:color w:val="0000FF"/>
              </w:rPr>
              <w:t>under</w:t>
            </w: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80" w:type="dxa"/>
            <w:vAlign w:val="bottom"/>
            <w:tcBorders>
              <w:top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6"/>
              </w:rPr>
              <w:t>Technology, Inc., pursuant to Rule 13a-14(a) under the Securities</w:t>
            </w:r>
          </w:p>
        </w:tc>
        <w:tc>
          <w:tcPr>
            <w:tcW w:w="100" w:type="dxa"/>
            <w:vAlign w:val="bottom"/>
            <w:tcBorders>
              <w:bottom w:val="single" w:sz="8" w:color="0000FF"/>
            </w:tcBorders>
            <w:gridSpan w:val="2"/>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70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9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18 U.S.C. Section 1350, as Adopted Pursuant to Section</w:t>
            </w:r>
          </w:p>
        </w:tc>
        <w:tc>
          <w:tcPr>
            <w:tcW w:w="1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90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60" w:type="dxa"/>
            <w:vAlign w:val="bottom"/>
            <w:gridSpan w:val="3"/>
          </w:tcPr>
          <w:p>
            <w:pPr>
              <w:spacing w:after="0"/>
              <w:rPr>
                <w:sz w:val="14"/>
                <w:szCs w:val="14"/>
                <w:color w:val="auto"/>
              </w:rPr>
            </w:pPr>
          </w:p>
        </w:tc>
        <w:tc>
          <w:tcPr>
            <w:tcW w:w="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8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6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060" w:type="dxa"/>
            <w:vAlign w:val="bottom"/>
            <w:gridSpan w:val="12"/>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left="1014"/>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management compensatory plan, contract or arrangement.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1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February 8, 2022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May 17, 2022)</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Amkor Technology,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who is a non-employee director of the Company (each such member, a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will be eligible to receive the compensation described in this Non-Employee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for his or her Board service. Unless otherwise defined herein, capitalized terms used in this Policy will have the meaning given to such terms in the Company’s 2021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any successor equity incentive plan.</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Policy became effective on February 8, 2022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The Policy may be amended at any time in the sole discretion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Following the Effective Date, each Non-Employee Director will be eligible to receive the applicable compensation set forth below. Cash retainers may be paid either as a lump sum or in periodic installments. Any equity compensation contemplated under this Policy will be granted under the Plan or any successor equity incentive plan.</w:t>
      </w:r>
    </w:p>
    <w:p>
      <w:pPr>
        <w:spacing w:after="0" w:line="37" w:lineRule="exact"/>
        <w:rPr>
          <w:sz w:val="20"/>
          <w:szCs w:val="20"/>
          <w:color w:val="auto"/>
        </w:rPr>
      </w:pPr>
    </w:p>
    <w:p>
      <w:pPr>
        <w:jc w:val="both"/>
        <w:ind w:firstLine="656"/>
        <w:spacing w:after="0" w:line="268" w:lineRule="auto"/>
        <w:tabs>
          <w:tab w:leader="none" w:pos="129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Board Service. </w:t>
      </w:r>
      <w:r>
        <w:rPr>
          <w:rFonts w:ascii="Times New Roman" w:cs="Times New Roman" w:eastAsia="Times New Roman" w:hAnsi="Times New Roman"/>
          <w:sz w:val="18"/>
          <w:szCs w:val="18"/>
          <w:color w:val="auto"/>
        </w:rPr>
        <w:t>Each person serving as a Non-Employee Director will be paid an annual cash retainer of $60,000.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Non-Employee Director will be paid an additional cash retainer of $2,000 for participation in each of the four regularly-scheduled quarterly Board meetings and $1,000 for participation in each other Board meeting.</w:t>
      </w:r>
    </w:p>
    <w:p>
      <w:pPr>
        <w:spacing w:after="0" w:line="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additional annual cash retainers will be paid to a Non-Employee Director serving in each of the following applicable roles:</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Lead Independent Director: $25,000</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Executive Vice Chair: $150,000</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Strategic Oversight Role: $75,000</w:t>
      </w:r>
    </w:p>
    <w:p>
      <w:pPr>
        <w:spacing w:after="0" w:line="100" w:lineRule="exact"/>
        <w:rPr>
          <w:sz w:val="20"/>
          <w:szCs w:val="20"/>
          <w:color w:val="auto"/>
        </w:rPr>
      </w:pPr>
    </w:p>
    <w:p>
      <w:pPr>
        <w:jc w:val="both"/>
        <w:ind w:firstLine="656"/>
        <w:spacing w:after="0" w:line="268" w:lineRule="auto"/>
        <w:tabs>
          <w:tab w:leader="none" w:pos="1286"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Retainers for Committee Service. </w:t>
      </w:r>
      <w:r>
        <w:rPr>
          <w:rFonts w:ascii="Times New Roman" w:cs="Times New Roman" w:eastAsia="Times New Roman" w:hAnsi="Times New Roman"/>
          <w:sz w:val="18"/>
          <w:szCs w:val="18"/>
          <w:color w:val="auto"/>
        </w:rPr>
        <w:t>Each Non-Employee Director serving on a committee of the Board will be paid, for service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such committee, an additional cash retainer of $2,000 for participation in each of the four quarterly committee meetings and $1,000 for participation in each other committee meeting.</w:t>
      </w:r>
    </w:p>
    <w:p>
      <w:pPr>
        <w:spacing w:after="0" w:line="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annual cash retainers will be paid to a Non-Employee Director serving as the Chair of a committee of the Board as listed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Audit Chair: $25,000</w:t>
      </w:r>
    </w:p>
    <w:p>
      <w:pPr>
        <w:spacing w:after="0" w:line="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Compensation Chair: $15,000</w:t>
      </w:r>
    </w:p>
    <w:p>
      <w:pPr>
        <w:spacing w:after="0" w:line="1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Nominating and Governance Chair: $10,000</w:t>
      </w:r>
    </w:p>
    <w:p>
      <w:pPr>
        <w:sectPr>
          <w:pgSz w:w="11900" w:h="16838" w:orient="portrait"/>
          <w:cols w:equalWidth="0" w:num="1">
            <w:col w:w="11240"/>
          </w:cols>
          <w:pgMar w:left="320" w:top="1400" w:right="339" w:bottom="1440" w:gutter="0" w:footer="0" w:header="0"/>
        </w:sectPr>
      </w:pPr>
    </w:p>
    <w:bookmarkStart w:id="53" w:name="page54"/>
    <w:bookmarkEnd w:id="53"/>
    <w:p>
      <w:pPr>
        <w:spacing w:after="0" w:line="68" w:lineRule="exact"/>
        <w:rPr>
          <w:sz w:val="20"/>
          <w:szCs w:val="20"/>
          <w:color w:val="auto"/>
        </w:rPr>
      </w:pPr>
    </w:p>
    <w:p>
      <w:pPr>
        <w:jc w:val="both"/>
        <w:ind w:firstLine="656"/>
        <w:spacing w:after="0" w:line="254" w:lineRule="auto"/>
        <w:tabs>
          <w:tab w:leader="none" w:pos="1293"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Equity Award Grant</w:t>
      </w:r>
      <w:r>
        <w:rPr>
          <w:rFonts w:ascii="Times New Roman" w:cs="Times New Roman" w:eastAsia="Times New Roman" w:hAnsi="Times New Roman"/>
          <w:sz w:val="18"/>
          <w:szCs w:val="18"/>
          <w:color w:val="auto"/>
        </w:rPr>
        <w:t>. Without any further action by the Board, at the close of business on the date of each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stockholders of the Company following the Effective Date (each, an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each person who is then a Non-Employee Director will automatically be granted Restricted Stock Units equal to (A) $175,000, divided by (B) the Fair Market Value of a share of Common Stock on the date of the applicable Annual Meeting (each, an “</w:t>
      </w:r>
      <w:r>
        <w:rPr>
          <w:rFonts w:ascii="Times New Roman" w:cs="Times New Roman" w:eastAsia="Times New Roman" w:hAnsi="Times New Roman"/>
          <w:sz w:val="18"/>
          <w:szCs w:val="18"/>
          <w:b w:val="1"/>
          <w:bCs w:val="1"/>
          <w:color w:val="auto"/>
        </w:rPr>
        <w:t>Annual Grant</w:t>
      </w:r>
      <w:r>
        <w:rPr>
          <w:rFonts w:ascii="Times New Roman" w:cs="Times New Roman" w:eastAsia="Times New Roman" w:hAnsi="Times New Roman"/>
          <w:sz w:val="18"/>
          <w:szCs w:val="18"/>
          <w:color w:val="auto"/>
        </w:rPr>
        <w:t>”). A Non-Employee Director who has been elected or appointed for the first time to be a Non-Employee Director after the Annual Meeting (a “</w:t>
      </w:r>
      <w:r>
        <w:rPr>
          <w:rFonts w:ascii="Times New Roman" w:cs="Times New Roman" w:eastAsia="Times New Roman" w:hAnsi="Times New Roman"/>
          <w:sz w:val="18"/>
          <w:szCs w:val="18"/>
          <w:b w:val="1"/>
          <w:bCs w:val="1"/>
          <w:color w:val="auto"/>
        </w:rPr>
        <w:t>New Director</w:t>
      </w:r>
      <w:r>
        <w:rPr>
          <w:rFonts w:ascii="Times New Roman" w:cs="Times New Roman" w:eastAsia="Times New Roman" w:hAnsi="Times New Roman"/>
          <w:sz w:val="18"/>
          <w:szCs w:val="18"/>
          <w:color w:val="auto"/>
        </w:rPr>
        <w:t>”) will receive a pro-rated Annual Grant (I) the value of which will be equal to the product of (1) the Annual Grant value by (2) a fraction, the numerator of which will be equal to the number of days in the period beginning on the date the New Director was elected or appointed to the date of the next subsequent Annual Meeting (the “</w:t>
      </w:r>
      <w:r>
        <w:rPr>
          <w:rFonts w:ascii="Times New Roman" w:cs="Times New Roman" w:eastAsia="Times New Roman" w:hAnsi="Times New Roman"/>
          <w:sz w:val="18"/>
          <w:szCs w:val="18"/>
          <w:b w:val="1"/>
          <w:bCs w:val="1"/>
          <w:color w:val="auto"/>
        </w:rPr>
        <w:t>Pro-Rated Annual Grant</w:t>
      </w:r>
      <w:r>
        <w:rPr>
          <w:rFonts w:ascii="Times New Roman" w:cs="Times New Roman" w:eastAsia="Times New Roman" w:hAnsi="Times New Roman"/>
          <w:sz w:val="18"/>
          <w:szCs w:val="18"/>
          <w:color w:val="auto"/>
        </w:rPr>
        <w:t>”) and (ii) the number of RSUs covered by such pro-rated Annual Grant which will be equal to (1) the Pro-Rated Annual Grant divided by (2) the Fair Market Value of a share of Common Stock on the date of grant. Each Annual Grant will fully vest on the earlier of (1) the first anniversary of the applicable grant date and (2) the date of the first Annual Meeting following the applicable grant date, subject to the Non-Employee Director’s continuous service as a Director through the vesting date.</w:t>
      </w:r>
    </w:p>
    <w:p>
      <w:pPr>
        <w:spacing w:after="0" w:line="50" w:lineRule="exact"/>
        <w:rPr>
          <w:sz w:val="20"/>
          <w:szCs w:val="20"/>
          <w:color w:val="auto"/>
        </w:rPr>
      </w:pPr>
    </w:p>
    <w:p>
      <w:pPr>
        <w:ind w:firstLine="1126"/>
        <w:spacing w:after="0" w:line="286" w:lineRule="auto"/>
        <w:rPr>
          <w:sz w:val="20"/>
          <w:szCs w:val="20"/>
          <w:color w:val="auto"/>
        </w:rPr>
      </w:pPr>
      <w:r>
        <w:rPr>
          <w:rFonts w:ascii="Times New Roman" w:cs="Times New Roman" w:eastAsia="Times New Roman" w:hAnsi="Times New Roman"/>
          <w:sz w:val="18"/>
          <w:szCs w:val="18"/>
          <w:b w:val="1"/>
          <w:bCs w:val="1"/>
          <w:color w:val="auto"/>
        </w:rPr>
        <w:t>(i)Change in Control</w:t>
      </w:r>
      <w:r>
        <w:rPr>
          <w:rFonts w:ascii="Times New Roman" w:cs="Times New Roman" w:eastAsia="Times New Roman" w:hAnsi="Times New Roman"/>
          <w:sz w:val="18"/>
          <w:szCs w:val="18"/>
          <w:color w:val="auto"/>
        </w:rPr>
        <w:t>. Notwithstanding the foregoing, all unvested equity awards granted pursuant to Section (c) will fully vest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if the successor or acquiring company does not assume or provide a substitute for the awards in connection with the Change in Control.</w:t>
      </w:r>
    </w:p>
    <w:p>
      <w:pPr>
        <w:spacing w:after="0" w:line="33" w:lineRule="exact"/>
        <w:rPr>
          <w:sz w:val="20"/>
          <w:szCs w:val="20"/>
          <w:color w:val="auto"/>
        </w:rPr>
      </w:pPr>
    </w:p>
    <w:p>
      <w:pPr>
        <w:ind w:right="20" w:firstLine="656"/>
        <w:spacing w:after="0" w:line="286" w:lineRule="auto"/>
        <w:tabs>
          <w:tab w:leader="none" w:pos="129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Death or Disability</w:t>
      </w:r>
      <w:r>
        <w:rPr>
          <w:rFonts w:ascii="Times New Roman" w:cs="Times New Roman" w:eastAsia="Times New Roman" w:hAnsi="Times New Roman"/>
          <w:sz w:val="18"/>
          <w:szCs w:val="18"/>
          <w:color w:val="auto"/>
        </w:rPr>
        <w:t>. Notwithstanding the foregoing, equity awards granted to Non-Employee Directors pursuant to the Policy will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 upon such Non-Employee Director’s death or termination of service as a Director due to disability.</w:t>
      </w:r>
    </w:p>
    <w:p>
      <w:pPr>
        <w:spacing w:after="0" w:line="33" w:lineRule="exact"/>
        <w:rPr>
          <w:sz w:val="20"/>
          <w:szCs w:val="20"/>
          <w:color w:val="auto"/>
        </w:rPr>
      </w:pPr>
    </w:p>
    <w:p>
      <w:pPr>
        <w:ind w:firstLine="1076"/>
        <w:spacing w:after="0" w:line="286" w:lineRule="auto"/>
        <w:rPr>
          <w:sz w:val="20"/>
          <w:szCs w:val="20"/>
          <w:color w:val="auto"/>
        </w:rPr>
      </w:pPr>
      <w:r>
        <w:rPr>
          <w:rFonts w:ascii="Times New Roman" w:cs="Times New Roman" w:eastAsia="Times New Roman" w:hAnsi="Times New Roman"/>
          <w:sz w:val="18"/>
          <w:szCs w:val="18"/>
          <w:b w:val="1"/>
          <w:bCs w:val="1"/>
          <w:color w:val="auto"/>
        </w:rPr>
        <w:t>(ii)Other Terms</w:t>
      </w:r>
      <w:r>
        <w:rPr>
          <w:rFonts w:ascii="Times New Roman" w:cs="Times New Roman" w:eastAsia="Times New Roman" w:hAnsi="Times New Roman"/>
          <w:sz w:val="18"/>
          <w:szCs w:val="18"/>
          <w:color w:val="auto"/>
        </w:rPr>
        <w:t>. The remaining terms and conditions of each Restricted Stock Unit award will be as set forth in the Plan and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 agreement for Directors, in the form adopted from time to time by the Board.</w:t>
      </w:r>
    </w:p>
    <w:p>
      <w:pPr>
        <w:spacing w:after="0" w:line="20"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Non-Employee Director Compensation Limit</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cash and equity compensation each Non-Employee Director is eligible to receive under this Policy (or otherwise) will be subject to the limits set forth in Section 12 of the Plan.</w:t>
      </w:r>
    </w:p>
    <w:p>
      <w:pPr>
        <w:spacing w:after="0" w:line="36"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reimburse each Non-Employee Director for ordinary, necessary and reasonable out-of-pocket travel expenses to cover in-person attendance at and participation in Board and committee meetings, subject to the Non-Employee Director submitting to the Company appropriate documentation substantiating such expenses in accordance with the Company’s travel and expense policy, as in effect from time to time.</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2022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4, 2022</w:t>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June 30, 2022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4, 2022</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4, 2022</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6"/>
    </w:lvl>
  </w:abstractNum>
  <w:abstractNum w:abstractNumId="3">
    <w:nsid w:val="3F2DBA31"/>
    <w:multiLevelType w:val="hybridMultilevel"/>
    <w:lvl w:ilvl="0">
      <w:lvlJc w:val="left"/>
      <w:lvlText w:val="(%1)"/>
      <w:numFmt w:val="decimal"/>
      <w:start w:val="22"/>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2"/>
    </w:lvl>
  </w:abstractNum>
  <w:abstractNum w:abstractNumId="27">
    <w:nsid w:val="1E7FF521"/>
    <w:multiLevelType w:val="hybridMultilevel"/>
    <w:lvl w:ilvl="0">
      <w:lvlJc w:val="left"/>
      <w:lvlText w:val="(%1)"/>
      <w:numFmt w:val="lowerLetter"/>
      <w:start w:val="3"/>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2"/>
    </w:lvl>
  </w:abstractNum>
  <w:abstractNum w:abstractNumId="30">
    <w:nsid w:val="6CEAF087"/>
    <w:multiLevelType w:val="hybridMultilevel"/>
    <w:lvl w:ilvl="0">
      <w:lvlJc w:val="left"/>
      <w:lvlText w:val="%1."/>
      <w:numFmt w:val="decimal"/>
      <w:start w:val="3"/>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2022-08-04T14:39:00Z</dcterms:created>
  <dcterms:modified xsi:type="dcterms:W3CDTF">2022-08-04T14:39:00Z</dcterms:modified>
</cp:coreProperties>
</file>