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83"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59"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AMKOR TECHNOLOGY, INC.</w:t>
            </w: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46"/>
        </w:trPr>
        <w:tc>
          <w:tcPr>
            <w:tcW w:w="3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i w:val="1"/>
                <w:iCs w:val="1"/>
                <w:color w:val="auto"/>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6"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87"/>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7740" w:type="dxa"/>
            <w:vAlign w:val="bottom"/>
            <w:gridSpan w:val="2"/>
          </w:tcPr>
          <w:p>
            <w:pPr>
              <w:jc w:val="center"/>
              <w:ind w:right="3397"/>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3500" w:type="dxa"/>
            <w:vAlign w:val="bottom"/>
          </w:tcPr>
          <w:p>
            <w:pPr>
              <w:spacing w:after="0"/>
              <w:rPr>
                <w:sz w:val="19"/>
                <w:szCs w:val="19"/>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ind w:left="248"/>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8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7"/>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03"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9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April 29, 2022 was 244,779,154.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Months Ended March 31,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 Three Months Ended March 31,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March 31, 2022 and December 31,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 Three Months Ended March 31,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Three Months Ended March 31,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2022, including expenditures in support of our announced expansion into Vietnam and our advanced packaging and test equipment, (2) our ability to fund our operating activities and financial requirements for the next twelve months, (3) the effect of changes in revenue levels and capacity utilization on our gross margin, (4) the impact of the Covid-19 pandemic on our operations, financial results and supply chain, (5) 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this market, (19) projects to install or integrate new information technology systems or upgrade our existing systems, (20) our expected revenue recognition, (21) the anticipated schedule for our new manufacturing facility in Vietnam and (22) other statements that are not historical facts. You are cautioned not to place undue reliance on forward-looking statements, which are often characterized by terminology such as “may,” “will,” “should,” “expects,” “plans,” “anticipates,” “believes,” “estimates,” “predicts,” “potential,” “continue,” or “intend,” by</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2021 (the “2021 Form 10-K”) and from time to time in our other reports filed with or furnished to the Securities and Exchange Commission (“SEC”). You should carefully consider the trends, risks and uncertainties described in this Form 10-Q, the 2021 Form 10-K, and other reports filed with or furnished to the SEC before making any investment decision with respect to our securities. If any of the following trends, risks or uncertainties actually occurs or continues,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update such information,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02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70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0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70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1,596,816</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1,326,150</w:t>
            </w:r>
          </w:p>
        </w:tc>
      </w:tr>
      <w:tr>
        <w:trPr>
          <w:trHeight w:val="230"/>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1,271,486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1,060,616</w:t>
            </w:r>
          </w:p>
        </w:tc>
      </w:tr>
      <w:tr>
        <w:trPr>
          <w:trHeight w:val="223"/>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325,330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265,534</w:t>
            </w:r>
          </w:p>
        </w:tc>
      </w:tr>
      <w:tr>
        <w:trPr>
          <w:trHeight w:val="22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76,768</w:t>
            </w: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w:t>
            </w:r>
          </w:p>
        </w:tc>
      </w:tr>
      <w:tr>
        <w:trPr>
          <w:trHeight w:val="223"/>
        </w:trPr>
        <w:tc>
          <w:tcPr>
            <w:tcW w:w="7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121,086</w:t>
            </w:r>
          </w:p>
        </w:tc>
      </w:tr>
      <w:tr>
        <w:trPr>
          <w:trHeight w:val="223"/>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144,448</w:t>
            </w: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w:t>
            </w:r>
          </w:p>
        </w:tc>
      </w:tr>
      <w:tr>
        <w:trPr>
          <w:trHeight w:val="223"/>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131,686</w:t>
            </w:r>
          </w:p>
        </w:tc>
      </w:tr>
      <w:tr>
        <w:trPr>
          <w:trHeight w:val="230"/>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120,019</w:t>
            </w:r>
          </w:p>
        </w:tc>
      </w:tr>
      <w:tr>
        <w:trPr>
          <w:trHeight w:val="230"/>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w:t>
            </w: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0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243,267</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245,129</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120,019</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r>
      <w:tr>
        <w:trPr>
          <w:trHeight w:val="223"/>
        </w:trPr>
        <w:tc>
          <w:tcPr>
            <w:tcW w:w="8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108,572</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854,802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826,744</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$308,591 and $251,959 in 2022 and 2021, respectively)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251,530</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1,258,767</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516,437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484,959</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33,601</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2,939,555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2,856,563</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2,871,058</w:t>
            </w:r>
          </w:p>
        </w:tc>
        <w:tc>
          <w:tcPr>
            <w:tcW w:w="0" w:type="dxa"/>
            <w:vAlign w:val="bottom"/>
          </w:tcPr>
          <w:p>
            <w:pPr>
              <w:spacing w:after="0"/>
              <w:rPr>
                <w:sz w:val="1"/>
                <w:szCs w:val="1"/>
                <w:color w:val="auto"/>
              </w:rPr>
            </w:pP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159,742</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24,516</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122,860</w:t>
            </w:r>
          </w:p>
        </w:tc>
        <w:tc>
          <w:tcPr>
            <w:tcW w:w="0" w:type="dxa"/>
            <w:vAlign w:val="bottom"/>
          </w:tcPr>
          <w:p>
            <w:pPr>
              <w:spacing w:after="0"/>
              <w:rPr>
                <w:sz w:val="1"/>
                <w:szCs w:val="1"/>
                <w:color w:val="auto"/>
              </w:rPr>
            </w:pPr>
          </w:p>
        </w:tc>
      </w:tr>
      <w:tr>
        <w:trPr>
          <w:trHeight w:val="252"/>
        </w:trPr>
        <w:tc>
          <w:tcPr>
            <w:tcW w:w="7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6,225,787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153,008</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828,727</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210,875</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64,233</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374,319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422,892</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1,679,735</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984,988</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120,472</w:t>
            </w:r>
          </w:p>
        </w:tc>
        <w:tc>
          <w:tcPr>
            <w:tcW w:w="0" w:type="dxa"/>
            <w:vAlign w:val="bottom"/>
          </w:tcPr>
          <w:p>
            <w:pPr>
              <w:spacing w:after="0"/>
              <w:rPr>
                <w:sz w:val="1"/>
                <w:szCs w:val="1"/>
                <w:color w:val="auto"/>
              </w:rPr>
            </w:pPr>
          </w:p>
        </w:tc>
      </w:tr>
      <w:tr>
        <w:trPr>
          <w:trHeight w:val="24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83,937</w:t>
            </w: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186,002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196,876</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3,098,965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3,066,008</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7840" w:type="dxa"/>
            <w:vAlign w:val="bottom"/>
          </w:tcPr>
          <w:p>
            <w:pPr>
              <w:ind w:left="480"/>
              <w:spacing w:after="0" w:line="167" w:lineRule="exact"/>
              <w:rPr>
                <w:sz w:val="20"/>
                <w:szCs w:val="20"/>
                <w:color w:val="auto"/>
              </w:rPr>
            </w:pPr>
            <w:r>
              <w:rPr>
                <w:rFonts w:ascii="Times New Roman" w:cs="Times New Roman" w:eastAsia="Times New Roman" w:hAnsi="Times New Roman"/>
                <w:sz w:val="17"/>
                <w:szCs w:val="17"/>
                <w:color w:val="auto"/>
              </w:rPr>
              <w:t>Common stock, $0.001 par value, 500,000 shares authorized; 290,687 and 290,466 shares issued; and</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3"/>
        </w:trPr>
        <w:tc>
          <w:tcPr>
            <w:tcW w:w="7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244,532 and 244,315 shares outstanding in 2022 and 2021,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1,982,113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1,977,134</w:t>
            </w:r>
          </w:p>
        </w:tc>
        <w:tc>
          <w:tcPr>
            <w:tcW w:w="0" w:type="dxa"/>
            <w:vAlign w:val="bottom"/>
          </w:tcPr>
          <w:p>
            <w:pPr>
              <w:spacing w:after="0"/>
              <w:rPr>
                <w:sz w:val="1"/>
                <w:szCs w:val="1"/>
                <w:color w:val="auto"/>
              </w:rPr>
            </w:pPr>
          </w:p>
        </w:tc>
      </w:tr>
      <w:tr>
        <w:trPr>
          <w:trHeight w:val="226"/>
        </w:trPr>
        <w:tc>
          <w:tcPr>
            <w:tcW w:w="7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1,163,939</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19,978</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Treasury stock, at cost, 46,155 and 46,151 shares in 2022 and 2021, respectively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(219,065)</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2,942,276</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3,126,822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2,972,546</w:t>
            </w:r>
          </w:p>
        </w:tc>
        <w:tc>
          <w:tcPr>
            <w:tcW w:w="0" w:type="dxa"/>
            <w:vAlign w:val="bottom"/>
          </w:tcPr>
          <w:p>
            <w:pPr>
              <w:spacing w:after="0"/>
              <w:rPr>
                <w:sz w:val="1"/>
                <w:szCs w:val="1"/>
                <w:color w:val="auto"/>
              </w:rPr>
            </w:pPr>
          </w:p>
        </w:tc>
      </w:tr>
      <w:tr>
        <w:trPr>
          <w:trHeight w:val="227"/>
        </w:trPr>
        <w:tc>
          <w:tcPr>
            <w:tcW w:w="78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6,225,787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right"/>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6"/>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5"/>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3"/>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5"/>
            <w:vMerge w:val="continue"/>
          </w:tcPr>
          <w:p>
            <w:pPr>
              <w:spacing w:after="0" w:line="20" w:lineRule="exact"/>
              <w:rPr>
                <w:sz w:val="1"/>
                <w:szCs w:val="1"/>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290,466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1,977,134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171,228</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Other comprehensive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($0.05 per common share)</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08"/>
        </w:trPr>
        <w:tc>
          <w:tcPr>
            <w:tcW w:w="16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March 31,</w:t>
            </w:r>
          </w:p>
        </w:tc>
        <w:tc>
          <w:tcPr>
            <w:tcW w:w="6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290,687</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gridSpan w:val="2"/>
            <w:vMerge w:val="restart"/>
            <w:shd w:val="clear" w:color="auto" w:fill="CCEEFF"/>
          </w:tcPr>
          <w:p>
            <w:pPr>
              <w:jc w:val="right"/>
              <w:ind w:right="26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1,982,113</w:t>
            </w: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1,322,370</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3,096,123</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3,126,822</w:t>
            </w:r>
          </w:p>
        </w:tc>
        <w:tc>
          <w:tcPr>
            <w:tcW w:w="0" w:type="dxa"/>
            <w:vAlign w:val="bottom"/>
          </w:tcPr>
          <w:p>
            <w:pPr>
              <w:spacing w:after="0"/>
              <w:rPr>
                <w:sz w:val="1"/>
                <w:szCs w:val="1"/>
                <w:color w:val="auto"/>
              </w:rPr>
            </w:pPr>
          </w:p>
        </w:tc>
      </w:tr>
      <w:tr>
        <w:trPr>
          <w:trHeight w:val="182"/>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gridSpan w:val="2"/>
            <w:vMerge w:val="continue"/>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gridSpan w:val="2"/>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288,923</w:t>
            </w:r>
          </w:p>
        </w:tc>
        <w:tc>
          <w:tcPr>
            <w:tcW w:w="40" w:type="dxa"/>
            <w:vAlign w:val="bottom"/>
          </w:tcPr>
          <w:p>
            <w:pPr>
              <w:spacing w:after="0"/>
              <w:rPr>
                <w:sz w:val="15"/>
                <w:szCs w:val="15"/>
                <w:color w:val="auto"/>
              </w:rPr>
            </w:pPr>
          </w:p>
        </w:tc>
        <w:tc>
          <w:tcPr>
            <w:tcW w:w="40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289</w:t>
            </w:r>
          </w:p>
        </w:tc>
        <w:tc>
          <w:tcPr>
            <w:tcW w:w="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1,953,378</w:t>
            </w:r>
          </w:p>
        </w:tc>
        <w:tc>
          <w:tcPr>
            <w:tcW w:w="2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562,502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27,270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(46,094)</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2,325,699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2,353,959</w:t>
            </w: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119,809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120,019</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(11,447)</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(11,447)</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8,561</w:t>
            </w: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($0.04 per common share)</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(9,777)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(9,777)</w:t>
            </w:r>
          </w:p>
        </w:tc>
        <w:tc>
          <w:tcPr>
            <w:tcW w:w="0" w:type="dxa"/>
            <w:vAlign w:val="bottom"/>
          </w:tcPr>
          <w:p>
            <w:pPr>
              <w:spacing w:after="0"/>
              <w:rPr>
                <w:sz w:val="1"/>
                <w:szCs w:val="1"/>
                <w:color w:val="auto"/>
              </w:rPr>
            </w:pPr>
          </w:p>
        </w:tc>
      </w:tr>
      <w:tr>
        <w:trPr>
          <w:trHeight w:val="138"/>
        </w:trPr>
        <w:tc>
          <w:tcPr>
            <w:tcW w:w="16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Subsidiary dividends to</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March 31,</w:t>
            </w:r>
          </w:p>
        </w:tc>
        <w:tc>
          <w:tcPr>
            <w:tcW w:w="7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289,865</w:t>
            </w:r>
          </w:p>
        </w:tc>
        <w:tc>
          <w:tcPr>
            <w:tcW w:w="4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20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1,964,331</w:t>
            </w:r>
          </w:p>
        </w:tc>
        <w:tc>
          <w:tcPr>
            <w:tcW w:w="2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672,534</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15,823</w:t>
            </w: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2,433,917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28,320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2,462,237</w:t>
            </w:r>
          </w:p>
        </w:tc>
        <w:tc>
          <w:tcPr>
            <w:tcW w:w="0" w:type="dxa"/>
            <w:vAlign w:val="bottom"/>
          </w:tcPr>
          <w:p>
            <w:pPr>
              <w:spacing w:after="0"/>
              <w:rPr>
                <w:sz w:val="1"/>
                <w:szCs w:val="1"/>
                <w:color w:val="auto"/>
              </w:rPr>
            </w:pPr>
          </w:p>
        </w:tc>
      </w:tr>
      <w:tr>
        <w:trPr>
          <w:trHeight w:val="182"/>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135,390</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176,788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(79,684)</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dividends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(49,444)</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702,197</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654,772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273,971</w:t>
            </w:r>
          </w:p>
        </w:tc>
        <w:tc>
          <w:tcPr>
            <w:tcW w:w="0" w:type="dxa"/>
            <w:vAlign w:val="bottom"/>
          </w:tcPr>
          <w:p>
            <w:pPr>
              <w:spacing w:after="0"/>
              <w:rPr>
                <w:sz w:val="1"/>
                <w:szCs w:val="1"/>
                <w:color w:val="auto"/>
              </w:rPr>
            </w:pPr>
          </w:p>
        </w:tc>
      </w:tr>
      <w:tr>
        <w:trPr>
          <w:trHeight w:val="230"/>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March 31, 2022, and for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contained in this Form 10-Q (the “Consolidated Financial Statements”) are unaudited, pursuant to the rules and regulations of the SEC. The December 31, 2021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2021 Form 10-K. The results of operations for the three months ended March 31, 2022 are not necessarily indicative of the results to be expected for the full year ending December 31, 2022.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the impact of the Covid-19 pandemic and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March 31, 2022 and December 31, 2021 were $220.4 million and $224.7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$175.1 million and $187.2 million as of March 31, 2022 and December 31, 2021, respectively. As of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2022 and December 31, 2021, the short-term portions of the liabilities were $112.8 million and $117.7 million, respectively. The remainder of the March 31, 2022 contract liability balance is expected to be recognized in revenue over the next 1-3 years. Revenue recognized during the three months ended March 31, 2022 and 2021 that was included in the contract liabilities balance at the beginning of the period was $28.9 million and $8.1 million, respectively.</w:t>
      </w: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r>
      <w:tr>
        <w:trPr>
          <w:trHeight w:val="23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1,156,508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920,655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440,308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405,495</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1,326,150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(smart phones, tablets)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6"/>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2"/>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12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$29.7 million for the three months ended March 31, 2022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decreased from $37.3 million as of December 31, 2021 to $36.7 million as of March 31, 2022, primarily due to settlement of examinations offset by increases related to income attribution.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2011-2021.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37"/>
        </w:trPr>
        <w:tc>
          <w:tcPr>
            <w:tcW w:w="7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2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1"/>
                <w:szCs w:val="11"/>
                <w:color w:val="auto"/>
              </w:rPr>
            </w:pPr>
          </w:p>
        </w:tc>
      </w:tr>
      <w:tr>
        <w:trPr>
          <w:trHeight w:val="195"/>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000" w:type="dxa"/>
            <w:vAlign w:val="bottom"/>
          </w:tcPr>
          <w:p>
            <w:pPr>
              <w:spacing w:after="0"/>
              <w:rPr>
                <w:sz w:val="16"/>
                <w:szCs w:val="16"/>
                <w:color w:val="auto"/>
              </w:rPr>
            </w:pPr>
          </w:p>
        </w:tc>
      </w:tr>
      <w:tr>
        <w:trPr>
          <w:trHeight w:val="233"/>
        </w:trPr>
        <w:tc>
          <w:tcPr>
            <w:tcW w:w="7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170,663</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244,403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243,267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awards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246,000</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245,129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31, 2021</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(8,409)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(loss)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(8,409)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March 31,</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4"/>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31, 2020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57"/>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31,467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(loss)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957"/>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March 31,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jc w:val="center"/>
              <w:ind w:left="937"/>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20,027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March 31, 2022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53,513</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303,945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279,708</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231,796</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467,572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10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512,665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 amortized cost and the fair market value of our held-to-maturity government bond (Level 1) maturing within a year was $4.6 million. As of December 31, 2021,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months ended March 31, 2022 and 2021, we sold receivables totaling $92.2 million and $106.3 million, respectively, net of discounts and fees of $0.2 million for each period.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218,140</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6,432,040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6,277,684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74,662</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8,641,716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(5,890,117)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(5,770,658)</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2,938,742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2,871,058</w:t>
            </w:r>
          </w:p>
        </w:tc>
        <w:tc>
          <w:tcPr>
            <w:tcW w:w="0" w:type="dxa"/>
            <w:vAlign w:val="bottom"/>
          </w:tcPr>
          <w:p>
            <w:pPr>
              <w:spacing w:after="0"/>
              <w:rPr>
                <w:sz w:val="1"/>
                <w:szCs w:val="1"/>
                <w:color w:val="auto"/>
              </w:rPr>
            </w:pPr>
          </w:p>
        </w:tc>
      </w:tr>
      <w:tr>
        <w:trPr>
          <w:trHeight w:val="21"/>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6"/>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5"/>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148,040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0" w:type="dxa"/>
            <w:vAlign w:val="bottom"/>
          </w:tcPr>
          <w:p>
            <w:pPr>
              <w:spacing w:after="0"/>
              <w:rPr>
                <w:sz w:val="1"/>
                <w:szCs w:val="1"/>
                <w:color w:val="auto"/>
              </w:rPr>
            </w:pPr>
          </w:p>
        </w:tc>
      </w:tr>
      <w:tr>
        <w:trPr>
          <w:trHeight w:val="702"/>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24"/>
                <w:szCs w:val="24"/>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 million revolving credit facility, applicable bank rate plus 1.11% (1)</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1.77%, due April 2023</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1.85%, due April 2024 (2)</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1.98%, due December 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 due December 2028 (3)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term loans, variable rate (4)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fixed rate at 0.86%, due June 2022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0.60%, due July 2022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148,592</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75,773</w:t>
            </w:r>
          </w:p>
        </w:tc>
      </w:tr>
      <w:tr>
        <w:trPr>
          <w:trHeight w:val="230"/>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113,834</w:t>
            </w: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loans, LIBOR plus 1.10%, due March 2024 (China) (5)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175"/>
        </w:trPr>
        <w:tc>
          <w:tcPr>
            <w:tcW w:w="76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$250.0 million senior secured revolving credit facility, LIBOR plus 1.25% - 1.75%, due July 2023</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(Singapore) (6)</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(7)</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6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w w:val="99"/>
              </w:rPr>
              <w:t>$600.0 million senior secured revolving credit facility, applicable bank rate plus 1.75%, due March</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2027 (Singapore) (6)</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1,252,074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1,146,775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(153,008)</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984,988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renewed our revolving credit facility agreement for a one-year term with availability of $30.0 million. Principal is payable at maturity or six months after draw of funds, whichever is sooner, and interest is payable monthly in arrears. As of March 31, 2022, $30.0 million was available to be drawn.</w:t>
      </w:r>
    </w:p>
    <w:p>
      <w:pPr>
        <w:spacing w:after="0" w:line="147"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Principal is payable at maturity, and interest is payable monthly, at a fixed rate of 1.85%. As of March 31, 2022,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$66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entered into a term loan agreement with availability of $200.0 million. The loan will mature seven years from the date of the first drawdown, which occurred in December 2021 for $50.0 million. Principal is payable in semiannual installments after a three-year grace period from the date of the first drawdown. Interest is payable quarterly at a fixed rate of 2.12%. During the three months ended March 31, 2022, we borrowed the remaining $150.0 million under this loan.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March 31, 2022 is at an annual base rate equal to the Tokyo Interbank Offered Rate plus 0.15% to 0.30% (weighted average of 0.28% as of March 31, 2022). As of March 31, 2022, $4.1 million was available to be drawn.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Interest is payable quarterly at an annual base rate equal to the London Interbank Offered Rate, as administered by the International Exchange Benchmark Administration (“LIBOR”), plus 1.10% (weighted average of 2.01% as of March 31, 2022).</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subsidiary, Amkor Technology Singapore Holding Pte. Ltd. (“ATSH”), entered into a $250.0 million senior secured revolving credit facility. In March 2022, this agreement was terminated and replaced with a $600.0 million senior secured revolving credit facility entered into by ATSH in March 2022 (the “2022 Singapore Revolver”). The 2022 Singapore Revolver is guaranteed by Amkor Technology, Inc. (“ATI”), Amkor Technology Taiwan Ltd. (“ATT”) and Amkor Advanced Technology Taiwan, Inc. (“AATT”). The borrowing availability for the 2022 Singapore Revolver is limited to a base amount equal to $250.0 million plus a variable amount equal to 37.5% of our consolidated accounts receivable balance. As of March 31, 2022, $600.0 million was available for future borrowings under the 2022 Singapore Revolver.</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our subsidiary, ATT, entered into a $56.0 million borrowing arrangement (the “ATT Loan”). This arrangement included a $20.0 million term loan and a $36.0 million revolving credit facility. In March 2022, in connection with our entry into the 2022 Singapore Revolver, the ATT Loan was amended to reduce the availability of the revolving credit facility from $36.0 million to $15.0 million. As of March 31, 2022, $15.0 million was available for future borrowings under such credit facility.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33655</wp:posOffset>
            </wp:positionV>
            <wp:extent cx="2160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5" w:lineRule="exact"/>
        <w:rPr>
          <w:sz w:val="20"/>
          <w:szCs w:val="20"/>
          <w:color w:val="auto"/>
        </w:rPr>
      </w:pPr>
    </w:p>
    <w:p>
      <w:pPr>
        <w:ind w:left="852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33655</wp:posOffset>
            </wp:positionV>
            <wp:extent cx="2160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tabs>
          <w:tab w:leader="none" w:pos="7840" w:val="left"/>
          <w:tab w:leader="none" w:pos="8980" w:val="left"/>
          <w:tab w:leader="none" w:pos="9600" w:val="left"/>
          <w:tab w:leader="none" w:pos="10740" w:val="left"/>
        </w:tabs>
        <w:rPr>
          <w:sz w:val="20"/>
          <w:szCs w:val="20"/>
          <w:color w:val="auto"/>
        </w:rPr>
      </w:pPr>
      <w:r>
        <w:rPr>
          <w:rFonts w:ascii="Times New Roman" w:cs="Times New Roman" w:eastAsia="Times New Roman" w:hAnsi="Times New Roman"/>
          <w:sz w:val="18"/>
          <w:szCs w:val="18"/>
          <w:color w:val="auto"/>
        </w:rPr>
        <w:t>Defined contribution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7,948</w:t>
        <w:tab/>
        <w:t>$</w:t>
      </w:r>
      <w:r>
        <w:rPr>
          <w:sz w:val="20"/>
          <w:szCs w:val="20"/>
          <w:color w:val="auto"/>
        </w:rPr>
        <w:tab/>
      </w:r>
      <w:r>
        <w:rPr>
          <w:rFonts w:ascii="Times New Roman" w:cs="Times New Roman" w:eastAsia="Times New Roman" w:hAnsi="Times New Roman"/>
          <w:sz w:val="17"/>
          <w:szCs w:val="17"/>
          <w:color w:val="auto"/>
        </w:rPr>
        <w:t>6,756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December 31, 2021,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00" w:type="dxa"/>
            <w:vAlign w:val="bottom"/>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0" w:type="dxa"/>
            <w:vAlign w:val="bottom"/>
            <w:shd w:val="clear" w:color="auto" w:fill="CCEEFF"/>
          </w:tcPr>
          <w:p>
            <w:pPr>
              <w:ind w:left="140"/>
              <w:spacing w:after="0" w:line="190"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forward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derivatives resulted in a net loss of $22.3 million and $34.9 million, respectively, which were offset by the foreign currency gains associated with the underlying net liabilities.</w:t>
      </w: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financial instruments that are not recorded at fair value on a recurring basis: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520,436</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617,560</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1,137,996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have entered into additional lease agreements that have not yet commenced of approximately $48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optimizing utilization of existing assets, broadening our customer base and selectively growing our scale and scope through strategic investments.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 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look for opportunities in the advanced packaging and test areas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identify attractive opportunities to grow our customer base and broaden the markets we serve through expansion of our operations, joint ventures, acquisitions and other strategic investments. For example, we have recently announced plans to expand our operations to Vietnam through the construction of a new factory. We believe that taking advantage of these opportunities helps to diversify our revenue streams, improve our profits, broaden our portfolio of services and maintain our technological leadership.</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effect of the ongoing Covid-19 pandemic is unknown, and there remains uncertainty related to the prolonged impact that the Covid-19 pandemic will have on the global economy, the semiconductor industry and our business, results of operations and financial condition. In March 2022, the Chinese government, as part of a broad effort to mitigate a rising number of Covid-19 cases in Shanghai, mandated a temporary lockdown of our Shanghai factory. Although we anticipate that our Shanghai facility will return to normal operating levels during the second quarter, we do not expect our regular seasonal trend of higher net sales for the second quarter compared to the first quarter to hold in the current year.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March 31, 2022, we had cash and cash equivalents and short-term investments of $854.8 million and $307.0 million, respectively.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$270.7 million, or 20.4%, to $1,596.8 million for the three months ended March 31, 2022, compared to $1,326.2 million for the three months ended March 31, 2021. The increase was attributable to higher sales of advanced products primarily in the communications and computing end markets.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March 31, 2022 increased to 20.4%, compared to 20.0% for the three months ended March 31, 2021. The increase in gross margin was primarily due to the increase in net sales and high factory utilization, partially offset by an increase in the mix of products sold with higher material content.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expanded 230 basis points to 13.2% for the three months ended March 31, 2022 from 10.9% for the three months ended March 31, 2021. The increase in our operating income margin was primarily due to our increase in net sales and expansion in gross margin discussed above along with disciplined cost control and a decrease in research and development expenses due to projects that moved into production.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$158.2 million for the three months ended March 31, 2022, compared to $110.4 million for the three months ended March 31, 2021.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$166.2 million for the three months ended March 31, 2022, compared to $176.8 million for the three months ended March 31, 2021. This decrease was primarily due to changes in working capital, partially offset by higher net sales and operating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40" w:type="dxa"/>
            <w:vAlign w:val="bottom"/>
            <w:gridSpan w:val="4"/>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3"/>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7"/>
                <w:szCs w:val="17"/>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1,326,150</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rPr>
              <w:t>270,666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r>
    </w:tbl>
    <w:p>
      <w:pPr>
        <w:spacing w:after="0" w:line="1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$270.7 million increase in net sales for the three months ended March 31, 2022 compared to the three months ended March 31, 2021 was due to higher sales of advanced products primarily in the communications and computing markets. Sales in the communications end market represented 43% of the increase, driven primarily by the further adoption of 5G smartphones. The increase in the computing end market, which represented 29% of the increase, is primarily due to the shift in cloud computing needs.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gridSpan w:val="5"/>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4"/>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7"/>
                <w:szCs w:val="17"/>
                <w:color w:val="auto"/>
              </w:rPr>
            </w:pPr>
          </w:p>
        </w:tc>
      </w:tr>
      <w:tr>
        <w:trPr>
          <w:trHeight w:val="22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325,330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265,534</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59,796</w:t>
            </w: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36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20.0 %</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 We have expanded our business in advanced system-in-package (“SiP”) modules, which tend to have higher material costs when compared to our other products. As we continue to increase production of these higher material cost modules, there could be an impact on our profitability, depending on overall utilization.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and gross margin increased for the three months ended March 31, 2022 compared to the three months ended March 31, 2021, primarily due to the increase in net sales and high factory utilization, partially offset by an increase in the mix of products sold with higher material content.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920" w:type="dxa"/>
            <w:vAlign w:val="bottom"/>
            <w:gridSpan w:val="4"/>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gridSpan w:val="4"/>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7"/>
                <w:szCs w:val="17"/>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76,959</w:t>
            </w:r>
          </w:p>
        </w:tc>
        <w:tc>
          <w:tcPr>
            <w:tcW w:w="3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76,768</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rPr>
              <w:t>191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have remained consistent between the three months ended March 31, 2022 and the three months ended March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40" w:type="dxa"/>
            <w:vAlign w:val="bottom"/>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4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40" w:type="dxa"/>
            <w:vAlign w:val="bottom"/>
            <w:gridSpan w:val="4"/>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7"/>
                <w:szCs w:val="17"/>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38,363</w:t>
            </w: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44,318</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(5,955)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Research and development expenses for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March 31, 2022 decreased compared to the three months ended March 31, 2021 due to projects that moved into production, partially offset by new development projects in advanced packaging technologies, primarily advanced SiP modules.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c>
          <w:tcPr>
            <w:tcW w:w="3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months ended March 31, 2022 compared to the three months ended March 31, 2021, primarily due to the increase in our average outstanding debt throughout the period.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months ended March 31, 2022 compared to the three months ended March 31, 2021 were due to foreign currency exchange rate movements, mainly the Japanese yen, and the associated impact on our net monetary exposure at our foreign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5"/>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29,728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11,667</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18,061</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months ended March 31, 2022 compared to the three months ended March 31, 2021, primarily due to the increase in income before tax.</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our subsidiaries in Korea and Singapore operated under various tax holidays. The tax holiday granted in the Philippines expired in December 2021. As these tax holidays expire, income earned in these jurisdictions will be subject to higher statutory income tax rates, which may cause our effective tax rate to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cyclical nature of the semiconductor industry and other factors discussed in Part II, Item 1A of this Form 10-Q.</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we had cash and cash equivalents and short-term investments of $1,161.8 million. Included in our cash and short-term investments balances as of March 31, 2022, is $996.0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2022, our net liability associated with unrecognized tax benefits is $37.7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three months ended March 31, 2022 and 2021, we sold accounts receivable totaling $92.2 million and $106.3 million, respectively, net of discounts and fees of $0.2 million for each period.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availability under the 2022 Singapore Revolver is limited to a base amount equal to $250.0 million plus a variable amount equal to 37.5% of our consolidated accounts receivable balance. As of March 31, 2022, we had availability of $600.0 million and no outstanding standby letters of credit. As of March 31, 2022, our foreign subsidiaries had $645.0 million available for future borrowings under revolving credit facilities, including the 2022 Singapore Revolver, and $70.1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we had debt of $1,244.1 million, with $156.7 million payable within 12 months. As of March 31, 2022, the interest payment obligations, based on stated coupon rates for fixed rate debt and interest rates applicable at March 31, 2022 for variable rate debt, were $232.3 million during the remaining term of the debt. Interest payment obligations payable within 12 months is $47.4 million. We were in compliance with all debt covenants as of March 31, 2022,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notes for cash or exchange shares of our common stock for our outstanding notes. Any such transaction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made in the open market, through privately negotiated transactions or otherwise and would be subject to the terms of our indentures and other debt agreements, market conditions and other factors.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As of March 31, 2022, the severance liability was $70.3 million, with $8.5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March 31, 2022, we had foreign pension plan obligations of $54.0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2021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March 31, 2022, our total remaining operating lease obligations and finance lease obligations were $170.5 million and $89.7 million, respectively, with $75.6 million and $36.7 million payable within 12 months, respectively. The lease obligations represent our future minimum lease payments including interest payments.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March 31, 2022, the purchase obligations were $470.3 million, with $434.0 million payable within 12 months.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we paid total quarterly cash dividends of $12.2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March 31, 2022, approximately $91.6 million was available to repurchase common stock pursuant to the Stock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three months ended March 31, 2022, our capital expenditures totaled $158.2 million.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that our 2022 capital expenditures will be approximately $950 million, approximately $100 million of which we expect to spend on construction of our new Vietnam factory. Ultimately, the amount of our 2022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2022 and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166,178</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176,788</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(240,009)</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109,236</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(49,444)</w:t>
            </w:r>
          </w:p>
        </w:tc>
      </w:tr>
    </w:tbl>
    <w:p>
      <w:pPr>
        <w:spacing w:after="0" w:line="14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three months ended March 31, 2022 decreased by $10.6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2021, primarily due to changes in working capital, partially offset by higher net sales and operating profit.</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three months ended March 31, 2022 increased by $75.6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2021, primarily due to increased purchases of property, plant, and equipment and increased net payments for investment activities. Payments for property, plant and equipment can fluctuate based on timing of purchase, receipt and acceptance of equipment.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provided by financing activities for the three months ended March 31, 2022 was primarily due to a borrowing in Korea,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net debt repayments in Japan and the payment of our quarterly dividends. The net cash used in financing activities for the three months ended March 31, 2021 was primarily due to net debt repayments in Japan and the payment of our quarterly dividends.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5"/>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176,788</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(158,154)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66,984</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assets or liabilities denominated in foreign currencies.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2022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three months ended March 31, 2022 would have been approximately $15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three months ended March 31, 2022, approximately 85% of our net sales were denominated in U.S. dollars. Our remaining net sales were principally denominated in Japanese yen. For the three months ended March 31, 2022,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2022 to assess the potential impact of fluctuations in exchange rates for all foreign denominated sales and operating expenses. Assuming that all foreign currencies appreciated 10% against the U.S. dollar, our operating income for the three months ended March 31, 2022 would have been approximately $30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$8.4 million and $11.4 million for the three months ended March 31, 2022 and 2021, respectively, and was recognized as an adjustment to equity through other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debt investments, see Note 7 to our Consolidated Financial Statements in Part I, Item 1 of this Form 10-Q.</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March 31,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2022 -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104,775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123,466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91,420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95,727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643,856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1,140,201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1,146,692</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19,666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48,207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111,873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115,405</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171,673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95,727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643,856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1,252,074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1,262,097</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2022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March 31, 2022. There have been no changes in our internal control over financial reporting that occurred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2021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section of this Form 10-Q. You should carefully consider the risks and uncertainties described below, together with all of the other information included in this Form 10-Q,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The following is a list of some of these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48" w:lineRule="exact"/>
        <w:rPr>
          <w:sz w:val="20"/>
          <w:szCs w:val="20"/>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our customers’ and vendors’ international operations;</w:t>
      </w:r>
    </w:p>
    <w:p>
      <w:pPr>
        <w:spacing w:after="0" w:line="14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30"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43"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96"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severance plan obligations associated with our manufacturing operations in Korea; and</w:t>
      </w:r>
    </w:p>
    <w:p>
      <w:pPr>
        <w:spacing w:after="0" w:line="116"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48"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4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other governments, such as tariffs, customs, duties, other restrictive trade barriers and national security, data privacy and cybersecurity, antitrust and competition, tax, currency and banking, labor and environmental, health and safety laws;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materially and adversely affect our business. The Covid-19 pandemic and the effects of governmental initiatives to control the pandemic have adversely affected, and may continue to adversely affect, the economies and financial markets of many countries. Although the magnitude of any potential future impact of the Covid-19 pandemic on our business and operations remains uncertain, the continued spread, new variants or potential re-emergence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pandemic or the occurrence of other epidemics or pandemics, and the imposition of related public health measures and travel and business restrictions may materially and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Most recently, in March 2022, the Chinese government, as part of a broad effort to mitigate a rising number of Covid-19 cases in Shanghai, mandated a temporary lockdown of our Shanghai factory. Although we anticipate that our Shanghai facility will return to normal operating levels during the second quarter, we do not expect our regular seasonal trend of higher net sales for the second quarter compared to the first quarter to hold in the current year.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and the Covid-19 pandemic has created extended lead times for some materials and equipment. To the extent the impact of the Covid-19 pandemic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has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and government shutdowns, civil disturbances or international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factories and operations in various foreign jurisdictions and many of our customers’ and vendors’ operations are also located outside of the U.S.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Additionally, we recently announced that we plan to expand our operations into Vietnam.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2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and environmental;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China, the Philippines and Malaysia.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the risk of economic damage claims and the risk of negative publicity if our packages fail</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and our business may be exposed to warranty claims, product return and liability risks, the risk of economic damage claims and the risk of negative publicity if our packages fail.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$70.3 million as of March 31, 2022.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the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James J. Kim, the Executive Chairman of our Board of Directors, Susan Y. Kim, the Executive Vice Chairman of our Board of Directors, and members of the Kim family and affiliates owned approximately 142.0 million shares, or approximately 58%, of our outstanding common stock. The Kim family also has options to acquire approximately 0.5 million shares. If the options are exercised, the Kim family’s total ownership would be an aggregate of approximately 142.5 million shares, or approximately 58%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and may continue to impact, the supply chain and consumer demand for our customers’ products and services, and the continued impact on the supply chain and consumer demand may ultimately have a material and adverse effect on our business, results of operations, and financial condition.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has been, and may continue to be, adversely impacted by the effects of the Covid-19 pandemic.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have resulted in long lead times, rising prices and supply chain disruptions, and we expect these industry constraints and external pressures to persist throughout 2022.</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 While certain governments have started to relax Covid-19-related restrictions and many countries are offering Covid-19 vaccines to their residents, vaccination rates remain low in many areas and there remains uncertainty around the impact of new variants or resurgences of Covid-19, when remaining restrictions will be lifted, the implementation and duration of any additional restrictions in response to the emergence of new variants or re-emergence of Covid-19, the timing of distribution and administration of the vaccines globally and when or if normal economic activity and business operations will resume.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March 31, 2022, our total debt balance was $1,244.1 million, of which $156.7 million was classified as a current liability and $642.4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2022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The U.S. Federal Reserve raised interest rates in March and May of 2022 and has signaled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63% of our net sales for the year ended December 31, 2021.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new proposals including establishing a global minimum corporate income tax (tested on a jurisdictional basis). Changes in U.S. or foreign tax laws, including new or modified guidance with respect to existing tax laws, could have a material adverse impact on our liquidity, results of operations, financial condition and cash flows.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and adversely affect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and Taiwan, and we have announced our intention to expand our operations to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26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March 31, 2022, and at March 31, 2022, approximately $91.6 million was available for repurchase. Repurchases of our common stock under the Stock Repurchase Program are funded with available cash, and the Stock Repurchase Program may be suspended or discontinued at any time.</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8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8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840" w:type="dxa"/>
            <w:vAlign w:val="bottom"/>
            <w:vMerge w:val="restart"/>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536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84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9" w:lineRule="exact"/>
        <w:rPr>
          <w:sz w:val="20"/>
          <w:szCs w:val="20"/>
          <w:color w:val="auto"/>
        </w:rPr>
      </w:pPr>
    </w:p>
    <w:p>
      <w:pPr>
        <w:ind w:left="1140" w:right="100" w:hanging="512"/>
        <w:spacing w:after="0" w:line="236"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64">
        <w:r>
          <w:rPr>
            <w:rFonts w:ascii="Times New Roman" w:cs="Times New Roman" w:eastAsia="Times New Roman" w:hAnsi="Times New Roman"/>
            <w:sz w:val="17"/>
            <w:szCs w:val="17"/>
            <w:u w:val="single" w:color="auto"/>
            <w:color w:val="0000FF"/>
          </w:rPr>
          <w:t>Secured Facility Agreement, dated March 28, 2022, between Amkor</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Technology, Inc., as parent, Amkor Technology Singapore Holding</w:t>
        </w:r>
      </w:hyperlink>
    </w:p>
    <w:p>
      <w:pPr>
        <w:jc w:val="both"/>
        <w:ind w:left="1140"/>
        <w:spacing w:after="0" w:line="220" w:lineRule="auto"/>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Pte. Ltd., as borrower, the subsidiaries of the borrower set forth in the</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schedules thereto, as original guarantors, the Hongkong and Shanghai</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Banking Corporation Limited, Singapore Branch (“HSBC”) and DBS</w:t>
        </w:r>
      </w:hyperlink>
    </w:p>
    <w:p>
      <w:pPr>
        <w:spacing w:after="0" w:line="2" w:lineRule="exact"/>
        <w:rPr>
          <w:rFonts w:ascii="Times New Roman" w:cs="Times New Roman" w:eastAsia="Times New Roman" w:hAnsi="Times New Roman"/>
          <w:sz w:val="17"/>
          <w:szCs w:val="17"/>
          <w:u w:val="single" w:color="auto"/>
          <w:color w:val="0000FF"/>
        </w:rPr>
      </w:pPr>
    </w:p>
    <w:p>
      <w:pPr>
        <w:ind w:left="1140" w:right="60"/>
        <w:spacing w:after="0" w:line="208"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Bank Ltd., each as mandated lead arranger and bookrunner, the other</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financial institutions party thereto, as lenders, HSBC, as agent and</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offshore security trustee, and CTBC Bank Co., Ltd., as onshore</w:t>
        </w:r>
      </w:hyperlink>
    </w:p>
    <w:p>
      <w:pPr>
        <w:spacing w:after="0" w:line="2" w:lineRule="exact"/>
        <w:rPr>
          <w:rFonts w:ascii="Times New Roman" w:cs="Times New Roman" w:eastAsia="Times New Roman" w:hAnsi="Times New Roman"/>
          <w:sz w:val="18"/>
          <w:szCs w:val="18"/>
          <w:u w:val="single" w:color="auto"/>
          <w:color w:val="0000FF"/>
        </w:rPr>
      </w:pPr>
    </w:p>
    <w:p>
      <w:pPr>
        <w:ind w:left="114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security agent.</w:t>
        </w:r>
      </w:hyperlink>
    </w:p>
    <w:p>
      <w:pPr>
        <w:spacing w:after="0" w:line="7" w:lineRule="exact"/>
        <w:rPr>
          <w:rFonts w:ascii="Times New Roman" w:cs="Times New Roman" w:eastAsia="Times New Roman" w:hAnsi="Times New Roman"/>
          <w:sz w:val="18"/>
          <w:szCs w:val="18"/>
          <w:u w:val="single" w:color="auto"/>
          <w:color w:val="0000FF"/>
        </w:rPr>
      </w:pPr>
    </w:p>
    <w:p>
      <w:pPr>
        <w:ind w:left="1140" w:right="400" w:hanging="512"/>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65">
        <w:r>
          <w:rPr>
            <w:rFonts w:ascii="Times New Roman" w:cs="Times New Roman" w:eastAsia="Times New Roman" w:hAnsi="Times New Roman"/>
            <w:sz w:val="18"/>
            <w:szCs w:val="18"/>
            <w:u w:val="single" w:color="auto"/>
            <w:color w:val="0000FF"/>
          </w:rPr>
          <w:t>Amkor Technology, Inc. Non-Employee Director Compensation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Policy</w:t>
        </w:r>
      </w:hyperlink>
    </w:p>
    <w:p>
      <w:pPr>
        <w:spacing w:after="0" w:line="10" w:lineRule="exact"/>
        <w:rPr>
          <w:sz w:val="20"/>
          <w:szCs w:val="20"/>
          <w:color w:val="auto"/>
        </w:rPr>
      </w:pPr>
    </w:p>
    <w:p>
      <w:pPr>
        <w:ind w:left="1140" w:right="380" w:hanging="51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66">
        <w:r>
          <w:rPr>
            <w:rFonts w:ascii="Times New Roman" w:cs="Times New Roman" w:eastAsia="Times New Roman" w:hAnsi="Times New Roman"/>
            <w:sz w:val="18"/>
            <w:szCs w:val="18"/>
            <w:u w:val="single" w:color="auto"/>
            <w:color w:val="0000FF"/>
          </w:rPr>
          <w:t>Form of Global Non-Employee Director Time-Vested Restricted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Stock Unit Award Agreement*</w:t>
        </w:r>
      </w:hyperlink>
    </w:p>
    <w:p>
      <w:pPr>
        <w:spacing w:after="0" w:line="10" w:lineRule="exact"/>
        <w:rPr>
          <w:sz w:val="20"/>
          <w:szCs w:val="20"/>
          <w:color w:val="auto"/>
        </w:rPr>
      </w:pPr>
    </w:p>
    <w:p>
      <w:pPr>
        <w:ind w:left="1140" w:right="620" w:hanging="51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67">
        <w:r>
          <w:rPr>
            <w:rFonts w:ascii="Times New Roman" w:cs="Times New Roman" w:eastAsia="Times New Roman" w:hAnsi="Times New Roman"/>
            <w:sz w:val="18"/>
            <w:szCs w:val="18"/>
            <w:u w:val="single" w:color="auto"/>
            <w:color w:val="0000FF"/>
          </w:rPr>
          <w:t>Amendment One to the Amkor Technology, Inc. 2021 Equity</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Incentive Plan*</w:t>
        </w:r>
      </w:hyperlink>
    </w:p>
    <w:p>
      <w:pPr>
        <w:spacing w:after="0" w:line="10" w:lineRule="exact"/>
        <w:rPr>
          <w:sz w:val="20"/>
          <w:szCs w:val="20"/>
          <w:color w:val="auto"/>
        </w:rPr>
      </w:pPr>
    </w:p>
    <w:p>
      <w:pPr>
        <w:ind w:left="1140" w:right="40" w:hanging="512"/>
        <w:spacing w:after="0" w:line="236" w:lineRule="auto"/>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Guillaume Marie Jean Rutten, Chief Executive Officer of Amkor Technology, Inc., pursuant to Rule 13a-14(a) under</w:t>
      </w:r>
    </w:p>
    <w:p>
      <w:pPr>
        <w:ind w:left="1140"/>
        <w:spacing w:after="0"/>
        <w:rPr>
          <w:sz w:val="20"/>
          <w:szCs w:val="20"/>
          <w:color w:val="auto"/>
        </w:rPr>
      </w:pPr>
      <w:r>
        <w:rPr>
          <w:rFonts w:ascii="Times New Roman" w:cs="Times New Roman" w:eastAsia="Times New Roman" w:hAnsi="Times New Roman"/>
          <w:sz w:val="18"/>
          <w:szCs w:val="18"/>
          <w:u w:val="single" w:color="auto"/>
          <w:color w:val="0000FF"/>
        </w:rPr>
        <w:t>the Securities Exchange Act of 1934, as amended</w:t>
      </w:r>
    </w:p>
    <w:p>
      <w:pPr>
        <w:spacing w:after="0" w:line="7" w:lineRule="exact"/>
        <w:rPr>
          <w:sz w:val="20"/>
          <w:szCs w:val="20"/>
          <w:color w:val="auto"/>
        </w:rPr>
      </w:pPr>
    </w:p>
    <w:p>
      <w:pPr>
        <w:ind w:left="1140" w:right="320" w:hanging="512"/>
        <w:spacing w:after="0" w:line="233" w:lineRule="auto"/>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Megan Faust, Chief Financial Officer of Amkor Technology, Inc., pursuant to Rule 13a-14(a) under the Securities</w:t>
      </w:r>
    </w:p>
    <w:p>
      <w:pPr>
        <w:ind w:left="1140"/>
        <w:spacing w:after="0"/>
        <w:rPr>
          <w:sz w:val="20"/>
          <w:szCs w:val="20"/>
          <w:color w:val="auto"/>
        </w:rPr>
      </w:pPr>
      <w:r>
        <w:rPr>
          <w:rFonts w:ascii="Times New Roman" w:cs="Times New Roman" w:eastAsia="Times New Roman" w:hAnsi="Times New Roman"/>
          <w:sz w:val="18"/>
          <w:szCs w:val="18"/>
          <w:u w:val="single" w:color="auto"/>
          <w:color w:val="0000FF"/>
        </w:rPr>
        <w:t>Exchange Act of 1934, as amended</w:t>
      </w:r>
    </w:p>
    <w:p>
      <w:pPr>
        <w:spacing w:after="0" w:line="7" w:lineRule="exact"/>
        <w:rPr>
          <w:sz w:val="20"/>
          <w:szCs w:val="20"/>
          <w:color w:val="auto"/>
        </w:rPr>
      </w:pPr>
    </w:p>
    <w:p>
      <w:pPr>
        <w:jc w:val="both"/>
        <w:ind w:left="1140" w:right="120" w:hanging="385"/>
        <w:spacing w:after="0" w:line="229"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tbl>
      <w:tblPr>
        <w:tblLayout w:type="fixed"/>
        <w:tblInd w:w="320" w:type="dxa"/>
        <w:tblCellMar>
          <w:top w:w="0" w:type="dxa"/>
          <w:left w:w="0" w:type="dxa"/>
          <w:bottom w:w="0" w:type="dxa"/>
          <w:right w:w="0" w:type="dxa"/>
        </w:tblCellMar>
      </w:tblPr>
      <w:tr>
        <w:trPr>
          <w:trHeight w:val="177"/>
        </w:trPr>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184"/>
        </w:trPr>
        <w:tc>
          <w:tcPr>
            <w:tcW w:w="740" w:type="dxa"/>
            <w:vAlign w:val="bottom"/>
          </w:tcPr>
          <w:p>
            <w:pPr>
              <w:spacing w:after="0"/>
              <w:rPr>
                <w:sz w:val="16"/>
                <w:szCs w:val="16"/>
                <w:color w:val="auto"/>
              </w:rPr>
            </w:pPr>
          </w:p>
        </w:tc>
        <w:tc>
          <w:tcPr>
            <w:tcW w:w="50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r>
      <w:tr>
        <w:trPr>
          <w:trHeight w:val="230"/>
        </w:trPr>
        <w:tc>
          <w:tcPr>
            <w:tcW w:w="74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101.SCH</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101.CAL</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101.LAB</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101.PRE</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r>
        <w:trPr>
          <w:trHeight w:val="23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101.DEF</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1140" w:right="380" w:hanging="421"/>
        <w:spacing w:after="0" w:line="234"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3/29/22</w:t>
            </w:r>
          </w:p>
        </w:tc>
      </w:tr>
      <w:tr>
        <w:trPr>
          <w:trHeight w:val="4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r>
      <w:tr>
        <w:trPr>
          <w:trHeight w:val="4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r>
      <w:tr>
        <w:trPr>
          <w:trHeight w:val="4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r>
    </w:tbl>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19" w:lineRule="exact"/>
        <w:rPr>
          <w:sz w:val="20"/>
          <w:szCs w:val="20"/>
          <w:color w:val="auto"/>
        </w:rPr>
      </w:pPr>
    </w:p>
    <w:p>
      <w:pPr>
        <w:sectPr>
          <w:pgSz w:w="11900" w:h="16838" w:orient="portrait"/>
          <w:cols w:equalWidth="0" w:num="2">
            <w:col w:w="6160" w:space="160"/>
            <w:col w:w="4920"/>
          </w:cols>
          <w:pgMar w:left="320" w:top="117"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7" w:right="339" w:bottom="1440" w:gutter="0" w:footer="0" w:header="0"/>
        </w:sectPr>
      </w:pPr>
    </w:p>
    <w:bookmarkStart w:id="51" w:name="page52"/>
    <w:bookmarkEnd w:id="51"/>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March 31, 2022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5, 2022</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5, 2022</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04"/>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64" Type="http://schemas.openxmlformats.org/officeDocument/2006/relationships/hyperlink" Target="https://www.sec.gov/Archives/edgar/data/0001047127/000119312522088294/d315757dex101.htm" TargetMode="External"/><Relationship Id="rId65" Type="http://schemas.openxmlformats.org/officeDocument/2006/relationships/hyperlink" Target="https://www.sec.gov/Archives/edgar/data/0001047127/000104712722000006/amkr123121ex1034.htm" TargetMode="External"/><Relationship Id="rId66" Type="http://schemas.openxmlformats.org/officeDocument/2006/relationships/hyperlink" Target="https://www.sec.gov/Archives/edgar/data/0001047127/000104712722000006/amkr123121ex1035.htm" TargetMode="External"/><Relationship Id="rId67" Type="http://schemas.openxmlformats.org/officeDocument/2006/relationships/hyperlink" Target="https://www.sec.gov/Archives/edgar/data/0001047127/000104712722000006/amkr123121ex10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2022-05-05T14:28:43Z</dcterms:created>
  <dcterms:modified xsi:type="dcterms:W3CDTF">2022-05-05T14:28:43Z</dcterms:modified>
</cp:coreProperties>
</file>