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5" w:lineRule="exact"/>
        <w:rPr>
          <w:sz w:val="24"/>
          <w:szCs w:val="24"/>
          <w:color w:val="auto"/>
        </w:rPr>
      </w:pPr>
    </w:p>
    <w:p>
      <w:pPr>
        <w:ind w:left="1820" w:right="1280" w:hanging="705"/>
        <w:spacing w:after="0" w:line="256" w:lineRule="auto"/>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20" w:right="1260" w:hanging="705"/>
        <w:spacing w:after="0" w:line="256" w:lineRule="auto"/>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82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6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Commission File Number 000-29472</w:t>
            </w: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43"/>
                <w:szCs w:val="43"/>
                <w:b w:val="1"/>
                <w:bCs w:val="1"/>
                <w:color w:val="auto"/>
              </w:rPr>
              <w:t>AMKOR TECHNOLOGY, INC.</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5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7720" w:type="dxa"/>
            <w:vAlign w:val="bottom"/>
          </w:tcPr>
          <w:p>
            <w:pPr>
              <w:jc w:val="center"/>
              <w:ind w:left="6307"/>
              <w:spacing w:after="0"/>
              <w:rPr>
                <w:sz w:val="20"/>
                <w:szCs w:val="20"/>
                <w:color w:val="auto"/>
              </w:rPr>
            </w:pPr>
            <w:r>
              <w:rPr>
                <w:rFonts w:ascii="Arial" w:cs="Arial" w:eastAsia="Arial" w:hAnsi="Arial"/>
                <w:sz w:val="18"/>
                <w:szCs w:val="18"/>
                <w:b w:val="1"/>
                <w:bCs w:val="1"/>
                <w:color w:val="auto"/>
                <w:w w:val="91"/>
              </w:rPr>
              <w:t>23-1722724</w:t>
            </w:r>
          </w:p>
        </w:tc>
        <w:tc>
          <w:tcPr>
            <w:tcW w:w="0" w:type="dxa"/>
            <w:vAlign w:val="bottom"/>
          </w:tcPr>
          <w:p>
            <w:pPr>
              <w:spacing w:after="0"/>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7720" w:type="dxa"/>
            <w:vAlign w:val="bottom"/>
          </w:tcPr>
          <w:p>
            <w:pPr>
              <w:jc w:val="center"/>
              <w:ind w:left="6307"/>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76"/>
        </w:trPr>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5"/>
              </w:rPr>
              <w:t>(State of incorporation)</w:t>
            </w:r>
          </w:p>
        </w:tc>
        <w:tc>
          <w:tcPr>
            <w:tcW w:w="7720" w:type="dxa"/>
            <w:vAlign w:val="bottom"/>
          </w:tcPr>
          <w:p>
            <w:pPr>
              <w:jc w:val="center"/>
              <w:ind w:left="6307"/>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2045 East Innovation Circle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Tempe, AZ 85284</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(480) 821-5000</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bl>
    <w:p>
      <w:pPr>
        <w:spacing w:after="0" w:line="1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740" w:val="left"/>
          <w:tab w:leader="none" w:pos="4860" w:val="left"/>
          <w:tab w:leader="none" w:pos="6920" w:val="left"/>
          <w:tab w:leader="none" w:pos="9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(Do not check if a smaller reporting company)</w:t>
      </w:r>
    </w:p>
    <w:p>
      <w:pPr>
        <w:spacing w:after="0" w:line="30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right="22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July 27, 2018 was 239,538,384.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172085</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86360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r>
      <w:tr>
        <w:trPr>
          <w:trHeight w:val="189"/>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80" w:type="dxa"/>
            <w:vAlign w:val="bottom"/>
            <w:gridSpan w:val="11"/>
          </w:tcPr>
          <w:p>
            <w:pPr>
              <w:jc w:val="center"/>
              <w:ind w:right="2800"/>
              <w:spacing w:after="0" w:line="189"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240" w:type="dxa"/>
            <w:vAlign w:val="bottom"/>
            <w:gridSpan w:val="2"/>
          </w:tcPr>
          <w:p>
            <w:pPr>
              <w:spacing w:after="0"/>
              <w:rPr>
                <w:sz w:val="21"/>
                <w:szCs w:val="21"/>
                <w:color w:val="auto"/>
              </w:rPr>
            </w:pPr>
          </w:p>
        </w:tc>
        <w:tc>
          <w:tcPr>
            <w:tcW w:w="2400" w:type="dxa"/>
            <w:vAlign w:val="bottom"/>
            <w:gridSpan w:val="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2380" w:type="dxa"/>
            <w:vAlign w:val="bottom"/>
            <w:tcBorders>
              <w:top w:val="single" w:sz="8" w:color="0000FF"/>
            </w:tcBorders>
            <w:gridSpan w:val="5"/>
          </w:tcPr>
          <w:p>
            <w:pPr>
              <w:spacing w:after="0"/>
              <w:rPr>
                <w:sz w:val="21"/>
                <w:szCs w:val="21"/>
                <w:color w:val="auto"/>
              </w:rPr>
            </w:pPr>
          </w:p>
        </w:tc>
        <w:tc>
          <w:tcPr>
            <w:tcW w:w="2800" w:type="dxa"/>
            <w:vAlign w:val="bottom"/>
            <w:gridSpan w:val="6"/>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 Three and Six Months Ended June 30, 2018 and 2017</w:t>
              </w:r>
            </w:hyperlink>
          </w:p>
        </w:tc>
        <w:tc>
          <w:tcPr>
            <w:tcW w:w="4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Comprehensive Income - Three and Six Months Ended June 30, 2018 and</w:t>
              </w:r>
            </w:hyperlink>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4"/>
          </w:tcPr>
          <w:p>
            <w:pPr>
              <w:jc w:val="right"/>
              <w:ind w:righ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20" w:type="dxa"/>
            <w:vAlign w:val="bottom"/>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 June 30, 2018 and December 31, 2017</w:t>
              </w:r>
            </w:hyperlink>
          </w:p>
        </w:tc>
        <w:tc>
          <w:tcPr>
            <w:tcW w:w="2560" w:type="dxa"/>
            <w:vAlign w:val="bottom"/>
            <w:gridSpan w:val="5"/>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 Six Months Ended June 30, 2018 and 2017</w:t>
              </w:r>
            </w:hyperlink>
          </w:p>
        </w:tc>
        <w:tc>
          <w:tcPr>
            <w:tcW w:w="40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3800" w:type="dxa"/>
            <w:vAlign w:val="bottom"/>
            <w:gridSpan w:val="7"/>
          </w:tcPr>
          <w:p>
            <w:pPr>
              <w:spacing w:after="0"/>
              <w:rPr>
                <w:sz w:val="21"/>
                <w:szCs w:val="21"/>
                <w:color w:val="auto"/>
              </w:rPr>
            </w:pPr>
          </w:p>
        </w:tc>
        <w:tc>
          <w:tcPr>
            <w:tcW w:w="620" w:type="dxa"/>
            <w:vAlign w:val="bottom"/>
            <w:gridSpan w:val="2"/>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3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3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36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40" w:type="dxa"/>
            <w:vAlign w:val="bottom"/>
          </w:tcPr>
          <w:p>
            <w:pPr>
              <w:spacing w:after="0"/>
              <w:rPr>
                <w:sz w:val="21"/>
                <w:szCs w:val="21"/>
                <w:color w:val="auto"/>
              </w:rPr>
            </w:pPr>
          </w:p>
        </w:tc>
      </w:tr>
      <w:tr>
        <w:trPr>
          <w:trHeight w:val="574"/>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0"/>
          </w:tcPr>
          <w:p>
            <w:pPr>
              <w:jc w:val="center"/>
              <w:ind w:right="2900"/>
              <w:spacing w:after="0"/>
              <w:rPr>
                <w:rFonts w:ascii="Arial" w:cs="Arial" w:eastAsia="Arial" w:hAnsi="Arial"/>
                <w:sz w:val="18"/>
                <w:szCs w:val="18"/>
                <w:b w:val="1"/>
                <w:bCs w:val="1"/>
                <w:color w:val="0000FF"/>
                <w:w w:val="96"/>
              </w:rPr>
            </w:pPr>
            <w:hyperlink w:anchor="page31">
              <w:r>
                <w:rPr>
                  <w:rFonts w:ascii="Arial" w:cs="Arial" w:eastAsia="Arial" w:hAnsi="Arial"/>
                  <w:sz w:val="18"/>
                  <w:szCs w:val="18"/>
                  <w:b w:val="1"/>
                  <w:bCs w:val="1"/>
                  <w:color w:val="0000FF"/>
                  <w:w w:val="96"/>
                </w:rPr>
                <w:t>PART II. Other Information</w:t>
              </w:r>
            </w:hyperlink>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w:t>
              </w:r>
            </w:hyperlink>
          </w:p>
        </w:tc>
        <w:tc>
          <w:tcPr>
            <w:tcW w:w="120" w:type="dxa"/>
            <w:vAlign w:val="bottom"/>
          </w:tcPr>
          <w:p>
            <w:pPr>
              <w:spacing w:after="0"/>
              <w:rPr>
                <w:sz w:val="21"/>
                <w:szCs w:val="21"/>
                <w:color w:val="auto"/>
              </w:rPr>
            </w:pPr>
          </w:p>
        </w:tc>
        <w:tc>
          <w:tcPr>
            <w:tcW w:w="250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2180" w:type="dxa"/>
            <w:vAlign w:val="bottom"/>
            <w:tcBorders>
              <w:top w:val="single" w:sz="8" w:color="0000FF"/>
            </w:tcBorders>
            <w:gridSpan w:val="3"/>
          </w:tcPr>
          <w:p>
            <w:pPr>
              <w:spacing w:after="0"/>
              <w:rPr>
                <w:sz w:val="21"/>
                <w:szCs w:val="21"/>
                <w:color w:val="auto"/>
              </w:rPr>
            </w:pPr>
          </w:p>
        </w:tc>
        <w:tc>
          <w:tcPr>
            <w:tcW w:w="2900" w:type="dxa"/>
            <w:vAlign w:val="bottom"/>
            <w:gridSpan w:val="7"/>
          </w:tcPr>
          <w:p>
            <w:pPr>
              <w:spacing w:after="0"/>
              <w:rPr>
                <w:sz w:val="21"/>
                <w:szCs w:val="21"/>
                <w:color w:val="auto"/>
              </w:rPr>
            </w:pPr>
          </w:p>
        </w:tc>
        <w:tc>
          <w:tcPr>
            <w:tcW w:w="3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1A.</w:t>
              </w:r>
            </w:hyperlink>
          </w:p>
        </w:tc>
        <w:tc>
          <w:tcPr>
            <w:tcW w:w="758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3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3.</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5.</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626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98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Signatures</w:t>
              </w:r>
            </w:hyperlink>
          </w:p>
        </w:tc>
        <w:tc>
          <w:tcPr>
            <w:tcW w:w="7540" w:type="dxa"/>
            <w:vAlign w:val="bottom"/>
            <w:gridSpan w:val="18"/>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c>
          <w:tcPr>
            <w:tcW w:w="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2018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or the conversion of debt in the future,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devices and our technology leadership and potential growth in this market, (18) our expected forfeiture rate for our outstanding stock options and restricted shares, (19) our expected rate of return for pension plan assets, (20) redemption of our Senior Notes due 2021 and the associated interest savings and (21)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80" w:type="dxa"/>
            <w:vAlign w:val="bottom"/>
            <w:gridSpan w:val="7"/>
          </w:tcPr>
          <w:p>
            <w:pPr>
              <w:jc w:val="center"/>
              <w:ind w:right="102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75"/>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rPr>
              <w:t>AMKOR TECHNOLOGY,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480" w:type="dxa"/>
            <w:vAlign w:val="bottom"/>
            <w:gridSpan w:val="8"/>
          </w:tcPr>
          <w:p>
            <w:pPr>
              <w:jc w:val="center"/>
              <w:ind w:left="211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9"/>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24"/>
                <w:szCs w:val="24"/>
                <w:color w:val="auto"/>
              </w:rPr>
            </w:pPr>
          </w:p>
        </w:tc>
        <w:tc>
          <w:tcPr>
            <w:tcW w:w="27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9"/>
              </w:rPr>
              <w:t>For the Six Months Ended June 30,</w:t>
            </w:r>
          </w:p>
        </w:tc>
      </w:tr>
      <w:tr>
        <w:trPr>
          <w:trHeight w:val="264"/>
        </w:trPr>
        <w:tc>
          <w:tcPr>
            <w:tcW w:w="8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1,065,684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1,008,385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2,091,003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1,907,669</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895,967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831,769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1,763,515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1,594,819</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169,717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176,616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312,850</w:t>
            </w: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74,700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67,785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155,423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144,067</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85,849</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Gain on sale of real estate</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(108,109)</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121,807</w:t>
            </w: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53,941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172,659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90,060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191,043</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43,412</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Interest expense, related party</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1,535</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7,893</w:t>
            </w: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Total other expense, net</w:t>
            </w:r>
          </w:p>
        </w:tc>
        <w:tc>
          <w:tcPr>
            <w:tcW w:w="1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33,569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52,840</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before taxes</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138,203</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10,631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32,141</w:t>
            </w:r>
          </w:p>
        </w:tc>
      </w:tr>
      <w:tr>
        <w:trPr>
          <w:trHeight w:val="27"/>
        </w:trPr>
        <w:tc>
          <w:tcPr>
            <w:tcW w:w="8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Net income</w:t>
            </w:r>
          </w:p>
        </w:tc>
        <w:tc>
          <w:tcPr>
            <w:tcW w:w="3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106,062</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104,227</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Net income attributable to Amkor per common share:</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0.44</w:t>
            </w:r>
          </w:p>
        </w:tc>
      </w:tr>
      <w:tr>
        <w:trPr>
          <w:trHeight w:val="251"/>
        </w:trPr>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Shares used in computing per common share amounts:</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280"/>
              <w:spacing w:after="0"/>
              <w:rPr>
                <w:sz w:val="20"/>
                <w:szCs w:val="20"/>
                <w:color w:val="auto"/>
              </w:rPr>
            </w:pPr>
            <w:r>
              <w:rPr>
                <w:rFonts w:ascii="Arial" w:cs="Arial" w:eastAsia="Arial" w:hAnsi="Arial"/>
                <w:sz w:val="18"/>
                <w:szCs w:val="18"/>
                <w:color w:val="auto"/>
              </w:rPr>
              <w:t>Basic</w:t>
            </w:r>
          </w:p>
        </w:tc>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239,351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238,863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239,283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238,774</w:t>
            </w:r>
          </w:p>
        </w:tc>
      </w:tr>
      <w:tr>
        <w:trPr>
          <w:trHeight w:val="27"/>
        </w:trPr>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239,804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239,679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239,805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239,601</w:t>
            </w:r>
          </w:p>
        </w:tc>
      </w:tr>
      <w:tr>
        <w:trPr>
          <w:trHeight w:val="27"/>
        </w:trPr>
        <w:tc>
          <w:tcPr>
            <w:tcW w:w="8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106,062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12,753</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119,215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47,245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119,063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Amkor</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21,405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118,198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46,001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117,228</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7"/>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243,019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1,458,179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1,644,004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2,754,960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139,567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4,381,681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4,508,388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115,057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569,085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payable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238,772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294,258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254,348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1,161,652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1,318,059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1,240,581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and severance obligations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184,072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182,216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2,611,523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2,788,679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Common stock, $0.001 par value, 500,000 shares authorized; 285,322 and 285,129 shares issued; and 239,366</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and 239,184 shares outstanding in 2018 and 2017, 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1,903,357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Treasury stock, at cost, 45,956 and 45,945 shares, in 2018 and 2017, respectively</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(215,982)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Amkor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1,719,709</w:t>
            </w:r>
          </w:p>
        </w:tc>
        <w:tc>
          <w:tcPr>
            <w:tcW w:w="0" w:type="dxa"/>
            <w:vAlign w:val="bottom"/>
          </w:tcPr>
          <w:p>
            <w:pPr>
              <w:spacing w:after="0"/>
              <w:rPr>
                <w:sz w:val="1"/>
                <w:szCs w:val="1"/>
                <w:color w:val="auto"/>
              </w:rPr>
            </w:pP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4,381,681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4,508,388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43,379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106,062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287,068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 and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199,959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(389,568)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(271,651)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130,962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revolving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short-term debt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41,228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215,086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(207,653)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 of deferred consideration for purchase of facility</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85,557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602,851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555,495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385,765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663,852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239,460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233,084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Equipment acquired through capital lease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June 30, 2018, and for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2017, are unaudited, pursuant to the rules and regulations of the United States Securities and Exchange Commission (“SEC”). The December 31, 2017,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2017, filed on Form 10-K with the SEC on February 23, 2018. The results of operations for the three and six months ended June 30, 2018, are not necessarily indicative of the results to be expected for the full year. Unless the context otherwise requires, all references to “Amkor,” “we,” “us,” “our” or the “company” are to Amkor Technology, Inc. and our subsidiaries.</w:t>
      </w:r>
    </w:p>
    <w:p>
      <w:pPr>
        <w:spacing w:after="0" w:line="17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 xml:space="preserve">Effective January 1, 2018, we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full retrospective transition method as discussed in Note 2. All amounts and disclosures set forth in this Form 10-Q reflect these changes.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2017, we completed the purchase of Nanium, S.A. ("Nanium"). Nanium's financial results have been included in our Consolidated Financial Statements from the date of acquisition (Note 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was subsequently amended and clarified. The standard is based on the principle that revenue is recognized to depict the transfer of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contracts with customers, including significant judgments and changes in judgments. The standard permits the use of either full retrospective or modified retrospective methods of adoption.</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Effective January 1, 2018, we adopted the requirements of Topic 606 using the full retrospective transition method. The new standard resulted in a change to the timing of revenue recognition, whereby revenue is recognized "over time" as services are performed rather than at a "point in time", generally upon shipment. The new standard also resulted in an increase in accounts receivables, net and a related decrease in inventories and deferred revenues. In accordance with Topic 606, we applied the following principles in connection with the adoption of the new standard:</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700" w:hanging="113"/>
        <w:spacing w:after="0"/>
        <w:tabs>
          <w:tab w:leader="none" w:pos="5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right="1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when we expect, at contract inception, that the period between when the entity transfers a promised good or service to a customer and when the customer pays for that good or service will be one year or less.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exclude sales, use, value-added and similar taxes from the transaction price, without performing a jurisdiction-by-jurisdiction assessment.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standard impacted our previously reported results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5"/>
          </w:tcPr>
          <w:p>
            <w:pPr>
              <w:jc w:val="center"/>
              <w:ind w:right="272"/>
              <w:spacing w:after="0"/>
              <w:rPr>
                <w:sz w:val="20"/>
                <w:szCs w:val="20"/>
                <w:color w:val="auto"/>
              </w:rPr>
            </w:pPr>
            <w:r>
              <w:rPr>
                <w:rFonts w:ascii="Arial" w:cs="Arial" w:eastAsia="Arial" w:hAnsi="Arial"/>
                <w:sz w:val="14"/>
                <w:szCs w:val="14"/>
                <w:b w:val="1"/>
                <w:bCs w:val="1"/>
                <w:color w:val="auto"/>
                <w:w w:val="94"/>
              </w:rPr>
              <w:t>For the Three Months Ended June 30, 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22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40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Adjustment</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4"/>
          </w:tcPr>
          <w:p>
            <w:pPr>
              <w:jc w:val="center"/>
              <w:ind w:left="694"/>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1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989,447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18,938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1,008,385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817,212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14,557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831,769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172,235</w:t>
            </w:r>
          </w:p>
        </w:tc>
        <w:tc>
          <w:tcPr>
            <w:tcW w:w="220" w:type="dxa"/>
            <w:vAlign w:val="bottom"/>
          </w:tcPr>
          <w:p>
            <w:pPr>
              <w:spacing w:after="0"/>
              <w:rPr>
                <w:sz w:val="21"/>
                <w:szCs w:val="21"/>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4,381</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176,616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32,573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33,466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116,459</w:t>
            </w:r>
          </w:p>
        </w:tc>
        <w:tc>
          <w:tcPr>
            <w:tcW w:w="220" w:type="dxa"/>
            <w:vAlign w:val="bottom"/>
          </w:tcPr>
          <w:p>
            <w:pPr>
              <w:spacing w:after="0"/>
              <w:rPr>
                <w:sz w:val="21"/>
                <w:szCs w:val="21"/>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3,571</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120,030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115,507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3,506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119,013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 attributable to Amkor per common share - diluted</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42"/>
        </w:trPr>
        <w:tc>
          <w:tcPr>
            <w:tcW w:w="5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5"/>
          </w:tcPr>
          <w:p>
            <w:pPr>
              <w:jc w:val="center"/>
              <w:ind w:right="292"/>
              <w:spacing w:after="0"/>
              <w:rPr>
                <w:sz w:val="20"/>
                <w:szCs w:val="20"/>
                <w:color w:val="auto"/>
              </w:rPr>
            </w:pPr>
            <w:r>
              <w:rPr>
                <w:rFonts w:ascii="Arial" w:cs="Arial" w:eastAsia="Arial" w:hAnsi="Arial"/>
                <w:sz w:val="14"/>
                <w:szCs w:val="14"/>
                <w:b w:val="1"/>
                <w:bCs w:val="1"/>
                <w:color w:val="auto"/>
                <w:w w:val="93"/>
              </w:rPr>
              <w:t>For the Six Months Ended June 30, 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22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40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Adjustment</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4"/>
          </w:tcPr>
          <w:p>
            <w:pPr>
              <w:jc w:val="center"/>
              <w:ind w:left="694"/>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1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1,903,047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4,622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1,907,669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1,587,906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6,913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1,594,819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315,141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(2,291)</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312,850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33,012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32,141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107,315</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(1,253)</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106,062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105,501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104,227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 attributable to Amkor per common share - diluted</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1"/>
                <w:szCs w:val="21"/>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932"/>
        </w:trPr>
        <w:tc>
          <w:tcPr>
            <w:tcW w:w="504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color w:val="auto"/>
              </w:rPr>
              <w:t>- 7-</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180" w:type="dxa"/>
            <w:vAlign w:val="bottom"/>
          </w:tcPr>
          <w:p>
            <w:pPr>
              <w:spacing w:after="0"/>
              <w:rPr>
                <w:sz w:val="12"/>
                <w:szCs w:val="12"/>
                <w:color w:val="auto"/>
              </w:rPr>
            </w:pPr>
          </w:p>
        </w:tc>
        <w:tc>
          <w:tcPr>
            <w:tcW w:w="13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300" w:type="dxa"/>
            <w:vAlign w:val="bottom"/>
          </w:tcPr>
          <w:p>
            <w:pPr>
              <w:spacing w:after="0"/>
              <w:rPr>
                <w:sz w:val="12"/>
                <w:szCs w:val="12"/>
                <w:color w:val="auto"/>
              </w:rPr>
            </w:pPr>
          </w:p>
        </w:tc>
        <w:tc>
          <w:tcPr>
            <w:tcW w:w="12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692,287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105,977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326,492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146,051</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(6,255)</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374,598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46,144</w:t>
            </w:r>
          </w:p>
        </w:tc>
        <w:tc>
          <w:tcPr>
            <w:tcW w:w="180" w:type="dxa"/>
            <w:vAlign w:val="bottom"/>
          </w:tcPr>
          <w:p>
            <w:pPr>
              <w:spacing w:after="0"/>
              <w:rPr>
                <w:sz w:val="21"/>
                <w:szCs w:val="21"/>
                <w:color w:val="auto"/>
              </w:rPr>
            </w:pP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1,679</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(42,851)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28,948</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adjustment to accumulated deficit includes the 2017 and 2016 net income impact for the adoption of Topic 606 of $2.8 million and $11.3 million, respectively. The adjustment also includes the cumulative impact to our 2016 beginning accumulated deficit of $14.8 million.</w:t>
      </w:r>
    </w:p>
    <w:p>
      <w:pPr>
        <w:spacing w:after="0" w:line="16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adoption of the standard had no impact on cash provided by or used in operating, investing, or financing activities on our consolidated cash flow statements.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and Net Periodic Postretirement Benefit Cost</w:t>
      </w:r>
      <w:r>
        <w:rPr>
          <w:rFonts w:ascii="Arial" w:cs="Arial" w:eastAsia="Arial" w:hAnsi="Arial"/>
          <w:sz w:val="18"/>
          <w:szCs w:val="18"/>
          <w:color w:val="auto"/>
        </w:rPr>
        <w:t>. ASU 2017-07 requires that the service cost component of net periodic pension costs be presented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line item as other compensation costs and all other components of net periodic pension costs be presented in the statement of income as nonoperating expenses. ASU 2017-07 is effective for reporting periods beginning after December 15, 2017 and applied retrospectively. We adopted ASU 2017-07 on January 1, 2018 and estimated the impact on the prior comparative period information presented in the consolidated financial statements applying the principles permitted by the standard. For the three and six months ended June 30, 2017, the retrospective application resulted in a $(0.1) million and $0.2 million reclassification of pension costs from operating income to other (income) expense, net in the Consolidated Statements of Income for the respective periods. Refer to Note 14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Standards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was subsequently amended and clarified. ASU 2016-02 requires a dual approach for lease accounting under which a lessee would account for leases as finance leases or operating leases. Both finance leases and operating leases will result in the lessee recognizing a right-of-use asset and a corresponding lease liability. For finance leases the lessee would recognize interest expense and amortization of the right-of-use asset, and for operating leases the lessee would recognize a straight-line lease expense. ASU 2016-02 is effective for reporting periods beginning after December 15, 2018 and requires either a modified retrospective transition approach with application in all comparative periods presented, or an alternative transition method, which permits a company to use its effective date as the date of initial application without restating comparative period financial statements. Early adoption is permitted. We are currently evaluating the impact that this guidance may have on our financial statements and disclosure, and have not yet selected a transition method.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significant accounting policies are detailed in Note 1 to our Consolidated Financial Statements in Part II, Item 8 of our Annual Report on Form 10-K for the year ended December 31, 2017. Significant changes to our accounting policies as a result of adopting Topic 606 are discussed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net of sales, use, value-added and other similar taxes, after the following: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 contract with a customer has been identified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performance obligations within the customer contract have been identified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transaction price attributable to the contract has been determined and allocated to each performance obligation, and</w:t>
      </w:r>
    </w:p>
    <w:p>
      <w:pPr>
        <w:spacing w:after="0" w:line="9" w:lineRule="exact"/>
        <w:rPr>
          <w:sz w:val="20"/>
          <w:szCs w:val="20"/>
          <w:color w:val="auto"/>
        </w:rPr>
      </w:pPr>
    </w:p>
    <w:p>
      <w:pPr>
        <w:ind w:left="660" w:right="580" w:hanging="324"/>
        <w:spacing w:after="0" w:line="261" w:lineRule="auto"/>
        <w:rPr>
          <w:sz w:val="20"/>
          <w:szCs w:val="20"/>
          <w:color w:val="auto"/>
        </w:rPr>
      </w:pPr>
      <w:r>
        <w:rPr>
          <w:rFonts w:ascii="Arial" w:cs="Arial" w:eastAsia="Arial" w:hAnsi="Arial"/>
          <w:sz w:val="18"/>
          <w:szCs w:val="18"/>
          <w:color w:val="auto"/>
        </w:rPr>
        <w:t>– The performance obligations have been determined to be satisfied. Performance obligations are deemed to be satisfied when, or as, control of services has been transferred to the customer.</w:t>
      </w:r>
    </w:p>
    <w:p>
      <w:pPr>
        <w:spacing w:after="0" w:line="18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7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Unbilled receivables are revenues that have been recognized for performance obligations that have been satisfied, or partially 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in advance of billing the customer. Revenue may be recognized in advance of billing as our contracts provide us with an unconditional right to consideration for work that is performed. Total unbilled receivables as of June 30, 2018 and December 31, 2017 were $106.6 million and $101.9 million, respectively. These amounts are included in accounts receivable, net of allowances in our Consolidated Balance Sheets.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consist of raw materials and purchased components, and are stated at the lower of cost and net realizable value. Cost is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Acquisition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Sales by Product Group and End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by product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6"/>
                <w:szCs w:val="16"/>
                <w:color w:val="auto"/>
              </w:rPr>
            </w:pPr>
          </w:p>
        </w:tc>
        <w:tc>
          <w:tcPr>
            <w:tcW w:w="27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496,241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971,993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820,967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Mainstream products (2)</w:t>
            </w:r>
          </w:p>
        </w:tc>
        <w:tc>
          <w:tcPr>
            <w:tcW w:w="2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569,443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563,285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1,119,010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1,086,702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1,065,684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1,008,385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2,091,003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1,907,669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by end market</w:t>
      </w:r>
      <w:r>
        <w:rPr>
          <w:rFonts w:ascii="Arial" w:cs="Arial" w:eastAsia="Arial" w:hAnsi="Arial"/>
          <w:sz w:val="18"/>
          <w:szCs w:val="18"/>
          <w:b w:val="1"/>
          <w:bCs w:val="1"/>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6"/>
              </w:rPr>
              <w:t>For the Three Months Ended June 30,</w:t>
            </w:r>
          </w:p>
        </w:tc>
        <w:tc>
          <w:tcPr>
            <w:tcW w:w="10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Communications (smartphones, tablets, handheld devices)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30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Automotive, industrial and other (driver assist, infotainment, safety, performance)</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30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Consumer (set-top boxes, televisions, connected home, personal electronics, visual</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imaging)</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6.  Other Income and Expense</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Other income and expense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8"/>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gridSpan w:val="6"/>
          </w:tcPr>
          <w:p>
            <w:pPr>
              <w:jc w:val="right"/>
              <w:ind w:right="333"/>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2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94"/>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(2,252)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center"/>
              <w:ind w:left="334"/>
              <w:spacing w:after="0"/>
              <w:rPr>
                <w:sz w:val="20"/>
                <w:szCs w:val="20"/>
                <w:color w:val="auto"/>
              </w:rPr>
            </w:pPr>
            <w:r>
              <w:rPr>
                <w:rFonts w:ascii="Arial" w:cs="Arial" w:eastAsia="Arial" w:hAnsi="Arial"/>
                <w:sz w:val="18"/>
                <w:szCs w:val="18"/>
                <w:color w:val="auto"/>
                <w:w w:val="94"/>
              </w:rPr>
              <w:t>(2,397)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94"/>
              </w:rPr>
              <w:t>(3,229)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(11,001)</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(3,288)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center"/>
              <w:ind w:left="334"/>
              <w:spacing w:after="0"/>
              <w:rPr>
                <w:sz w:val="20"/>
                <w:szCs w:val="20"/>
                <w:color w:val="auto"/>
              </w:rPr>
            </w:pPr>
            <w:r>
              <w:rPr>
                <w:rFonts w:ascii="Arial" w:cs="Arial" w:eastAsia="Arial" w:hAnsi="Arial"/>
                <w:sz w:val="18"/>
                <w:szCs w:val="18"/>
                <w:color w:val="auto"/>
                <w:w w:val="94"/>
              </w:rPr>
              <w:t>(7,569)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- 10-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2017, the Tax Cuts and Jobs Act (the “Tax Act”) was signed into law. Accounting Standards Codification ("ASC") 740,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reported provisional amounts for the income tax effects of the Tax Act for which the accounting is incomplete, but a reasonable estimate could be determined in our financial statements for the year ended December 31, 2017. There were no specific impacts of the Tax Act that could not be reasonably estimated. Our estimate of the impact of the Tax Act may be adjusted throughout the allowable measurement period. We have not completed the accounting for any of the income tax effects of the Tax Act during the six months ended June 30, 2018 as we continue to collect additional information, prepare and analyze the information and evaluate any regulatory guidance or clarifications. We have not made adjustments to the provisional amounts reported for the year ended December 31, 2017, nor have we concluded on any accounting policy elections. Changes to our provisional estimates and further analysis could impact our judgments, elections and assertions.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of $13.1 million for the six months ended June 30, 2018 reflects income taxes of our various operations, including foreign withholding taxes and minimum taxes. Income tax expense also reflects income taxed in foreign jurisdictions where we benefit from tax holidays.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Except for deferred tax assets in Portugal, we consider it more likely than not that we will have sufficient taxable income to allow us to realize most of our foreign deferred tax assets.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maintain a valuation allowance on a portion of our U.S. net deferred tax assets, for net operating loss carryforwards not expected to be realized due to Global Intangible Low-Taxed Income ("GILTI") and foreign tax credit carryforwards expected to expire unused. Such valuation allowances are released as the related tax benefits are realized or when sufficient evidence exists to conclude that it is more likely than not that the deferred tax assets will be realized.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decreased from $27.2 million at December 31, 2017, to $24.8 million as of June 30, 2018. All of our unrecognized tax benefits would reduce our effective tax rate, if recognized. Our unrecognized tax benefits are subject to change for effective settlement of examinations, changes in the recognition threshold of tax positions, the expiration of statues of limitations and other factors. Tax return examinations involve uncertainties, and there can be no assurance that the outcome of examinations will be favorable.</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6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3"/>
          </w:tcPr>
          <w:p>
            <w:pPr>
              <w:jc w:val="center"/>
              <w:ind w:left="59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32,591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119,013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104,227</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Weighted-average number of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238,863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238,774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Weighted-average number of common shares outstanding — diluted</w:t>
            </w: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239,804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239,679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239,805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239,601</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0.44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5760"/>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and restricted share awards</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3,644</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9.  Equity and Accumulated Other Comprehensive Income (Loss)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Changes in equity consist of the following:</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Attributable</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Attributable to</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 Amkor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at December 31, 2017</w:t>
            </w:r>
          </w:p>
        </w:tc>
        <w:tc>
          <w:tcPr>
            <w:tcW w:w="9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1,696,276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1,719,709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42,135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43,379</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Issuance of stock through employee share-based compensation plans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Subsidiary dividends paid to non-controlling interests</w:t>
            </w: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Equity at June 30, 2018</w:t>
            </w:r>
          </w:p>
        </w:tc>
        <w:tc>
          <w:tcPr>
            <w:tcW w:w="6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1,745,751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24,407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1,770,158</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5540"/>
              <w:spacing w:after="0"/>
              <w:rPr>
                <w:sz w:val="20"/>
                <w:szCs w:val="20"/>
                <w:color w:val="auto"/>
              </w:rPr>
            </w:pPr>
            <w:r>
              <w:rPr>
                <w:rFonts w:ascii="Arial" w:cs="Arial" w:eastAsia="Arial" w:hAnsi="Arial"/>
                <w:sz w:val="18"/>
                <w:szCs w:val="18"/>
                <w:color w:val="auto"/>
              </w:rPr>
              <w:t>- 12-</w:t>
            </w: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Attributable</w:t>
            </w:r>
          </w:p>
        </w:tc>
        <w:tc>
          <w:tcPr>
            <w:tcW w:w="16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Attributable to</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4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7"/>
              </w:rPr>
              <w:t>to Amkor</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1,409,692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1,429,517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104,227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Issuance of stock through employee share-based compensation plans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Subsidiary dividends paid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Equity at June 30,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1,530,423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1,551,813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80" w:type="dxa"/>
            <w:vAlign w:val="bottom"/>
            <w:gridSpan w:val="3"/>
          </w:tcPr>
          <w:p>
            <w:pPr>
              <w:jc w:val="right"/>
              <w:spacing w:after="0"/>
              <w:rPr>
                <w:sz w:val="20"/>
                <w:szCs w:val="20"/>
                <w:color w:val="auto"/>
              </w:rPr>
            </w:pPr>
            <w:r>
              <w:rPr>
                <w:rFonts w:ascii="Arial" w:cs="Arial" w:eastAsia="Arial" w:hAnsi="Arial"/>
                <w:sz w:val="18"/>
                <w:szCs w:val="18"/>
                <w:color w:val="auto"/>
                <w:w w:val="90"/>
              </w:rPr>
              <w:t>Changes in accumulated other comprehensive income (loss), net of tax, consist of the following:</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4"/>
                <w:szCs w:val="24"/>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4"/>
                <w:szCs w:val="2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June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6,222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26,385</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3"/>
                <w:szCs w:val="23"/>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3"/>
                <w:szCs w:val="2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12,753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12,753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June 30,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17,877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out of accumulated other comprehensive income (loss) are included as a component of net periodic pension cost (Note 14).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Factoring of Accounts Receivable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certain foreign locations,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six months ended June 30, 2018, we sold accounts receivable totaling $203.1 million and $428.6 million, net of discounts and fees of $2.0 million and $3.8 million, respectively. For the three and six months ended June 30, 2017, we sold accounts receivable totaling $133.1 million and $265.2 million, net of discounts and fees of $0.8 million and $1.5 million, respectively.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4"/>
          </w:tcPr>
          <w:p>
            <w:pPr>
              <w:ind w:left="68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225,493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Land use rights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1,496,683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1,384,846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5,131,573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4,938,291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104,910</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7,160,811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6,896,008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(4,405,851)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(4,200,943)</w:t>
            </w: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2,754,960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6"/>
              </w:rPr>
              <w:t>For the Three Months Ended June 30,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51"/>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142,497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144,839</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284,502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286,295</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8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113,990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134,785</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56,664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settlement costs</w:t>
            </w:r>
          </w:p>
        </w:tc>
        <w:tc>
          <w:tcPr>
            <w:tcW w:w="4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revenue and customer advances</w:t>
            </w: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14,740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 plan obligations</w:t>
            </w:r>
          </w:p>
        </w:tc>
        <w:tc>
          <w:tcPr>
            <w:tcW w:w="4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54,099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59,833</w:t>
            </w:r>
          </w:p>
        </w:tc>
        <w:tc>
          <w:tcPr>
            <w:tcW w:w="0" w:type="dxa"/>
            <w:vAlign w:val="bottom"/>
          </w:tcPr>
          <w:p>
            <w:pPr>
              <w:spacing w:after="0"/>
              <w:rPr>
                <w:sz w:val="1"/>
                <w:szCs w:val="1"/>
                <w:color w:val="auto"/>
              </w:rPr>
            </w:pPr>
          </w:p>
        </w:tc>
      </w:tr>
      <w:tr>
        <w:trPr>
          <w:trHeight w:val="257"/>
        </w:trPr>
        <w:tc>
          <w:tcPr>
            <w:tcW w:w="42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40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254,348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60" w:type="dxa"/>
            <w:vAlign w:val="bottom"/>
            <w:vMerge w:val="restart"/>
          </w:tcPr>
          <w:p>
            <w:pPr>
              <w:jc w:val="right"/>
              <w:ind w:right="2370"/>
              <w:spacing w:after="0"/>
              <w:rPr>
                <w:sz w:val="20"/>
                <w:szCs w:val="20"/>
                <w:color w:val="auto"/>
              </w:rPr>
            </w:pPr>
            <w:r>
              <w:rPr>
                <w:rFonts w:ascii="Arial" w:cs="Arial" w:eastAsia="Arial" w:hAnsi="Arial"/>
                <w:sz w:val="18"/>
                <w:szCs w:val="18"/>
                <w:color w:val="auto"/>
              </w:rPr>
              <w:t>- 15-</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secured credit facilities: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$200 million revolving credit facility, LIBOR plus 1.25%-1.75%, due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December 2019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June 2021 (2)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6.375% Senior notes, due October 2022</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524,971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524,971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$75 million revolving credit facility, foreign currency funding-linked base rate plus 1.60%, due September</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2018 (3)</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2.70%, due December 2019</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55,000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120,000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(4)</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J-Devices Corporation:</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loans, fixed rate at 0.53%, due April 2018</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8,430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Revolving credit facility, TAIFX plus a bank-determined spread, due November 2020 (Taiwan) (6)</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1.80%, due December 2019 (China)</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49,000</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1,330,482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1,365,533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and deferred debt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(123,848)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1,214,535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1,240,581</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June 30, 2018, we had availability of $199.5 million under a senior secured revolving credit facility, after reduction of $0.5 million of outstanding standby letters of credit. In July 2018, this credit facility was terminated and replaced by a new facility entered into by Amkor Technology Singapore Holding Pte, Ltd. and guaranteed by Amkor Technology, Inc. This new credit facility has availability up to $250.0 million, a letter of credit sub-limit facility of $15.0 million and a termination date of July 2023. The availability for this revolving credit facility is limited to a percentage of the amount of eligible accounts receivable.</w:t>
      </w:r>
    </w:p>
    <w:p>
      <w:pPr>
        <w:spacing w:after="0" w:line="147"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July 2018, we issued a redemption notice for all $200 million of our 6.625% Senior Notes due 2021 ("Notes"). The note redemption is scheduled for completion in August 2018. In accordance with the terms of the indenture governing the Notes, the redemption price will be 100% of the principal amount of the Notes plus accrued and unpaid interest. The redemption of the Notes will be funded with proceeds from our ¥26.0 billion (approximately US$230 million) term loan agreement entered into in July 2018 by J-Devices Corporation and guaranteed by Amkor</w:t>
      </w:r>
    </w:p>
    <w:p>
      <w:pPr>
        <w:spacing w:after="0" w:line="200" w:lineRule="exact"/>
        <w:rPr>
          <w:rFonts w:ascii="Arial" w:cs="Arial" w:eastAsia="Arial" w:hAnsi="Arial"/>
          <w:sz w:val="16"/>
          <w:szCs w:val="16"/>
          <w:color w:val="auto"/>
        </w:rPr>
      </w:pPr>
    </w:p>
    <w:p>
      <w:pPr>
        <w:spacing w:after="0" w:line="373" w:lineRule="exact"/>
        <w:rPr>
          <w:rFonts w:ascii="Arial" w:cs="Arial" w:eastAsia="Arial" w:hAnsi="Arial"/>
          <w:sz w:val="16"/>
          <w:szCs w:val="16"/>
          <w:color w:val="auto"/>
        </w:rPr>
      </w:pPr>
    </w:p>
    <w:p>
      <w:pPr>
        <w:ind w:left="5640" w:hanging="98"/>
        <w:spacing w:after="0"/>
        <w:tabs>
          <w:tab w:leader="none" w:pos="5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Technology, Inc. The term loan bears interest at a fixed rate of 1.30% per annum. Principal and interest of the term loan are payable quarterly through the maturity in July 2023.</w:t>
      </w:r>
    </w:p>
    <w:p>
      <w:pPr>
        <w:spacing w:after="0" w:line="103"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2018, we extended our $75.0 million credit facility from June 2018 to September 2018. Principal is payable at maturity. Interest is due monthly in arrears, at a foreign currency funding-linked base rate plus 1.60% (4.66% as of June 30, 2018).</w:t>
      </w:r>
    </w:p>
    <w:p>
      <w:pPr>
        <w:spacing w:after="0" w:line="129"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May 2015, we entered into a term loan agreement pursuant to which we may borrow up to $150.0 million for capital expenditures. Principal is payable at maturity. Interest is payable quarterly in arrears, at a fund floating rate plus 1.60% (4.27% as of June 30, 2018). In the second quarter of 2018, we borrowed $64.0 million on this facility and repaid other Amkor Technology Korea, Inc. term loans with earlier maturity dates.</w:t>
      </w:r>
    </w:p>
    <w:p>
      <w:pPr>
        <w:spacing w:after="0" w:line="10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is payable in monthly installments. Interest as of June 30, 2018 is at TIBOR plus 0.15%. As of June 30, 2018, $9.0 million was available to be drawn.</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2015, we entered into a $39.0 million revolving credit facility. Principal is payable at maturity. Interest is payable monthly, at TAIFX plus a bank determined spread (3.75% as of June 30, 2018). As of June 30, 2018, $19.0 million was available to be drawn.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foreign debt is collateralized by the land, buildings and equipment in the respective locations. The carrying value of the collateral exceeds the carrying amount of the debt.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June 30, 2018.</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38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6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16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2,020</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(gain) loss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periodic pension cost</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8,066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16,248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16,604</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6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contribution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3,017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7,013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5,779</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6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80" w:type="dxa"/>
            <w:vAlign w:val="bottom"/>
            <w:gridSpan w:val="3"/>
          </w:tcPr>
          <w:p>
            <w:pPr>
              <w:jc w:val="right"/>
              <w:ind w:right="9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75,167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121,627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30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736,693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724,081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745,943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723,867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603,645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605,511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639,689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640,562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1,340,338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1,329,592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1,385,632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1,364,429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warrant that our services will be performed in a professional and workmanlike manner and in compliance with our customers' specifications. We accrue costs for known warranty issues. Historically, our warranty costs have been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and selectively growing our scale and scope through strategic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We believe that our technology leadership and this technology transition create significant growth opportunities for us.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identify attractive opportunities to grow our customer base and expand the markets we serve. For example, in May 2017 we acquired Nanium, which has strengthened our position in the market for wafer-level fan-out packaging. In December 2015, we completed the acquisition of J-Devices, the largest provider of outsourced semiconductor assembly and test services in Japan. J-Devices is primarily focused in the automotive, industrial and consumer end markets. We believe that selective growth through joint ventures, acquisitions and other strategic investments can help diversify our revenue streams, improve our profits, broaden our portfolio of services and continue our technological leadership.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Our fabless customers include: Broadcom Limited, Qualcomm Incorporated and Socionext Inc. Our contract foundry customers include: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GlobalFoundries Inc. and Taiwan Semiconductor Manufacturing Company Limited.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economic slowdown or subsequent economic recovery.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business, our capital expenditure levels and our ability to repay debt out of our operating cash flows or proceeds from debt or equity financings.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utilizing the full retrospective transition method. The prior periods presented here have been revised to reflect this change. For more information, see Note 2 to our Consolidated Financial Statements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net sales increased $57.3 million or 5.7% to $1,065.7 million for the three months ended June 30, 2018 from $1,008.4 million for the three months ended June 30, 2017. We benefitted from our strategic focus on balanced revenue growth across end markets and regions. The increase was primarily attributable to increased participation in the major smartphone ecosystems and gains in the computing and automotive markets.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for the three months ended June 30, 2018 decreased to 15.9% from 17.5% for the three months ended June 30, 2017. The decline in gross margin was primarily attributable to changes in the mix of products sold with higher material content during the period. This was partially offset by benefits realized from our 2017 factory consolidation efforts in Japan and increased net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are primarily for investments in advanced packaging and test equipment and totaled $389.6 million for the six months ended June 30, 2018, compared to $271.7 million for the six months ended June 30, 2017. The increase in spending is due to the growth in our business and expansion of our production facilities.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$206.4 million for the six months ended June 30, 2018, compared to $200.0 million for the six months ended June 30, 2017. This increase was primarily due to higher sales and gross profit, offset by changes in working capital.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2018, we entered into a ¥26.0 billion term loan agreement and borrowed ¥26.0 billion (approximately US$230 million). We plan to use proceeds from the term loan to repay all of our $200 million outstanding 6.625% Senior Notes due 2021 ("Notes"). We issued a redemption notice for our 2021 Notes in July 2018 and the redemption is scheduled for completion in August 2018. This refinancing is expected to generate net annualized interest savings of approximately $11 million.</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July 2018, we also replaced our existing senior revolving credit facility. The terms of the new credit facility are substantially the same as the old facility, except that, among other things, the availability under the new credit facility has been increased from $200 million to $250 million and the termination date has been extended from December 2019 to July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50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r>
      <w:tr>
        <w:trPr>
          <w:trHeight w:val="236"/>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8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8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Amkor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5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w w:val="96"/>
              </w:rPr>
              <w:t>For the 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For the 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0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2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  1,065,684</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  1,008,385</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rPr>
              <w:t>57,299</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5.7%  $  2,091,003</w:t>
            </w:r>
          </w:p>
        </w:tc>
        <w:tc>
          <w:tcPr>
            <w:tcW w:w="1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  1,907,669</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183,334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2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net sales for the three and six months ended June 30, 2018, compared to the three and six months ended June 30, 2017, was attributable to increased participation in the major smartphone ecosystems and gains in the computing and automotive markets.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443"/>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542"/>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w w:val="89"/>
              </w:rPr>
              <w:t>(In thousands, except percentages)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169,717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176,616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(6,899)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327,488</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312,850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14,638</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15.7%</w:t>
            </w:r>
          </w:p>
        </w:tc>
        <w:tc>
          <w:tcPr>
            <w:tcW w:w="28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direct relationship between our revenue levels and gross margin where relatively modest increases or decreases can have a significant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decreased for the three and six months ended June 30, 2018 compared to the three and six months ended June 30, 2017 primarily due to changes in the mix of products sold with higher material content during the period. This was partially offset by benefits realized from our 2017 factory consolidation efforts in Japan and increased net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w w:val="96"/>
              </w:rPr>
              <w:t>For the Three Months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For the 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40" w:type="dxa"/>
            <w:vAlign w:val="bottom"/>
            <w:gridSpan w:val="5"/>
          </w:tcPr>
          <w:p>
            <w:pPr>
              <w:ind w:left="860"/>
              <w:spacing w:after="0"/>
              <w:rPr>
                <w:sz w:val="20"/>
                <w:szCs w:val="20"/>
                <w:color w:val="auto"/>
              </w:rPr>
            </w:pPr>
            <w:r>
              <w:rPr>
                <w:rFonts w:ascii="Arial" w:cs="Arial" w:eastAsia="Arial" w:hAnsi="Arial"/>
                <w:sz w:val="14"/>
                <w:szCs w:val="14"/>
                <w:b w:val="1"/>
                <w:bCs w:val="1"/>
                <w:color w:val="auto"/>
                <w:w w:val="91"/>
              </w:rPr>
              <w:t>(In thousands, except percentages)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Selling, general and administrative  $</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74,700</w:t>
            </w:r>
          </w:p>
        </w:tc>
        <w:tc>
          <w:tcPr>
            <w:tcW w:w="3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67,785</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rPr>
              <w:t>6,915</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10.2%  $</w:t>
            </w:r>
          </w:p>
        </w:tc>
        <w:tc>
          <w:tcPr>
            <w:tcW w:w="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155,423</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144,067</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11,356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three and six months ended June 30, 2018 increased compared to the three and six months ended June 30, 2017 primarily due to net proceeds received from a one-time legal settlement received in 2017. Additionally, selling, general and administrative expenses increased for the six months ended June 30, 2018 due to increased employee compensation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w w:val="96"/>
              </w:rPr>
              <w:t>For the 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w w:val="96"/>
              </w:rPr>
              <w:t>For the 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r>
      <w:tr>
        <w:trPr>
          <w:trHeight w:val="250"/>
        </w:trPr>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41,076</w:t>
            </w:r>
          </w:p>
        </w:tc>
        <w:tc>
          <w:tcPr>
            <w:tcW w:w="3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44,281</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(3,205)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(7.2)%  $</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82,005</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85,849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(3,844)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2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six months ended June 30, 2018 decreased compared to the three and six months ended June 30, 2017. We experienced reductions in costs for projects that moved into production, partially offset by development and other costs associated with our new K5 factory and research and development facility in Korea.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84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Borders>
              <w:bottom w:val="single" w:sz="8" w:color="auto"/>
            </w:tcBorders>
          </w:tcPr>
          <w:p>
            <w:pPr>
              <w:spacing w:after="0"/>
              <w:rPr>
                <w:sz w:val="22"/>
                <w:szCs w:val="22"/>
                <w:color w:val="auto"/>
              </w:rPr>
            </w:pPr>
          </w:p>
        </w:tc>
      </w:tr>
      <w:tr>
        <w:trPr>
          <w:trHeight w:val="250"/>
        </w:trPr>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60" w:type="dxa"/>
            <w:vAlign w:val="bottom"/>
            <w:gridSpan w:val="6"/>
          </w:tcPr>
          <w:p>
            <w:pPr>
              <w:ind w:left="240"/>
              <w:spacing w:after="0"/>
              <w:rPr>
                <w:sz w:val="20"/>
                <w:szCs w:val="20"/>
                <w:color w:val="auto"/>
              </w:rPr>
            </w:pPr>
            <w:r>
              <w:rPr>
                <w:rFonts w:ascii="Arial" w:cs="Arial" w:eastAsia="Arial" w:hAnsi="Arial"/>
                <w:sz w:val="14"/>
                <w:szCs w:val="14"/>
                <w:b w:val="1"/>
                <w:bCs w:val="1"/>
                <w:color w:val="auto"/>
                <w:w w:val="93"/>
              </w:rPr>
              <w:t>(In thousands, except percentages)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6"/>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Interest expense, including related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party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21,127</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4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44,947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(3,809)</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w w:val="99"/>
              </w:rPr>
              <w:t>Foreign currency (gain) loss,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(4,858)</w:t>
            </w:r>
          </w:p>
        </w:tc>
        <w:tc>
          <w:tcPr>
            <w:tcW w:w="44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&gt;100%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9,132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(11,529)</w:t>
            </w:r>
          </w:p>
        </w:tc>
        <w:tc>
          <w:tcPr>
            <w:tcW w:w="3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w w:val="98"/>
              </w:rPr>
              <w:t>&gt;(100)%</w:t>
            </w:r>
          </w:p>
        </w:tc>
      </w:tr>
      <w:tr>
        <w:trPr>
          <w:trHeight w:val="33"/>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&gt;100%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&gt;100%</w:t>
            </w:r>
          </w:p>
        </w:tc>
      </w:tr>
      <w:tr>
        <w:trPr>
          <w:trHeight w:val="244"/>
        </w:trPr>
        <w:tc>
          <w:tcPr>
            <w:tcW w:w="2340" w:type="dxa"/>
            <w:vAlign w:val="bottom"/>
          </w:tcPr>
          <w:p>
            <w:pPr>
              <w:ind w:left="4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10,126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19,163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(9,037)</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33,569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52,840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(19,271)</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0"/>
        </w:trPr>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for the three and six months ended June 30, 2018 compared to the three and six months ended June 30, 2017, primarily due to the redemption of $200 million of our 6.625% Senior Notes due 2021 in July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net foreign currency gains for the three and six months ended June 30, 2018, as compared with a foreign currency gain and a loss in the respective prior periods in 2017. These changes year over year were due to foreign currency exchange rate movements, mainly the Korean Won, and the associated impact on our net monetary exposure at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right="14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243"/>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10,631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33,466</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13,112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32,141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(19,029)</w:t>
            </w:r>
          </w:p>
        </w:tc>
      </w:tr>
      <w:tr>
        <w:trPr>
          <w:trHeight w:val="33"/>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income is earned and taxed in foreign jurisdictions in the Asia Pacific region with applicable tax rates similar to the U.S. federal and state combined tax rate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 The income tax expense for the three and six months ended June 30, 2017 includes the income tax on the gain on the sale of the land and buildings comprising our K1 factory in May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2018 and 2017, our subsidiaries in Korea, Malaysia, the Philippines and Singapore operated under tax holidays. The tax holiday granted to certain operations in Taiwan and Malaysia expired as of December 31, 2017 and March 31, 2018, respectively. The tax holidays granted to certain operations in the Philippines expire in 2018. As these tax holidays expire, income earned in these jurisdictions will be subject to higher statutory income tax rates, which may cause our effective tax rate to increase.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source of cash and the source of funds for our operations are cash flows from operations, current cash and cash equivalents, borrowings under available credit facilities and proceeds from any additional debt or equity financings. As of June 30, 2018, we had cash and cash equivalents of $380.3 million. Included in our cash balance as of June 30, 2018, is $303.1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will not be subject to U.S. federal income tax. If we were to distribute this offshore cash to the U.S. as dividends from our foreign subsidiaries, we may be subject to foreign withholding and state income taxes.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2018, we had availability of $199.5 million under a first lien senior secured revolving credit facility, after reduction of $0.5 million of outstanding standby letters of credit. In July 2018, this credit facility was terminated and replaced by a new facility with availability up to $250.0 million. The availability for this revolving credit facility is limited to a percentage of the amount of eligible accounts receivable. We refer you to Note 13 to our Consolidated Financial Statements in Part 1, Item 1 of this Quarterly Report on Form 10-Q for additional information. Our foreign subsidiaries had $19.0 million available to be drawn under secured revolving credit facilities and $9.0 million available to be borrowed under secured term loan credit facilities for working capital purposes and capital expenditures.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2018, we had $1,329.6 million of debt. Our scheduled principal repayments on debt include $88.1 million due over the remainder of 2018, $109.8 million due in 2019, $390.8 million due in 2020, $210.8 million due in 2021, and $530.8 million due in 2022. We were in compliance with all debt covenants at June 30, 2018, and we expect to remain in compliance with these covenants for at least the next twelve months.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2018, we entered into a ¥26.0 billion term loan agreement and borrowed ¥26.0 billion (approximately US$230 million). We plan to use proceeds from the term loan to repay all of our $200 million outstanding 2021 Notes. We issued a redemption notice for our 2021 Notes in July 2018 and the redemption is scheduled for completion in August 2018. This refinancing is expected to generate net annualized interest savings of approximately $11 million. We refer you to Note 13 to our Consolidated Financial Statements in Part 1, Item 1 of this Quarterly Report on Form 10-Q for additional information.</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foreign locations,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six months ended June 30, 2018 and 2017, we sold accounts receivable totaling $428.6 million and $265.2 million, net of discounts and fees of $3.8 million and $1.5 million, respectively.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June 30, 2018, the severance liability was $145.3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terms of a January 2015 patent license litigation settlement, Amkor agreed to pay a total of $155.0 million in 16 equal quarterly recurring payments commencing in the first quarter of 2015 and continuing through the fourth quarter of 2018. As of June 30, 2018, we owe $19.4 million under the settlement.</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June 30, 2018,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2018 capital expenditures to be approximately $600 million. During the six months ended June 30, 2018, our capital expenditures totaled $389.6 million. Ultimately, the amount of our 2018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investing and financing activities for the six months ended June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264"/>
        </w:trPr>
        <w:tc>
          <w:tcPr>
            <w:tcW w:w="35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35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left="61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5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206,379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199,959</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(386,318)</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(186,577)</w:t>
            </w:r>
          </w:p>
        </w:tc>
      </w:tr>
      <w:tr>
        <w:trPr>
          <w:trHeight w:val="27"/>
        </w:trPr>
        <w:tc>
          <w:tcPr>
            <w:tcW w:w="35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85,557</w:t>
            </w:r>
          </w:p>
        </w:tc>
      </w:tr>
      <w:tr>
        <w:trPr>
          <w:trHeight w:val="891"/>
        </w:trPr>
        <w:tc>
          <w:tcPr>
            <w:tcW w:w="3500" w:type="dxa"/>
            <w:vAlign w:val="bottom"/>
          </w:tcPr>
          <w:p>
            <w:pPr>
              <w:spacing w:after="0"/>
              <w:rPr>
                <w:sz w:val="24"/>
                <w:szCs w:val="24"/>
                <w:color w:val="auto"/>
              </w:rPr>
            </w:pPr>
          </w:p>
        </w:tc>
        <w:tc>
          <w:tcPr>
            <w:tcW w:w="4840" w:type="dxa"/>
            <w:vAlign w:val="bottom"/>
          </w:tcPr>
          <w:p>
            <w:pPr>
              <w:jc w:val="right"/>
              <w:ind w:right="2370"/>
              <w:spacing w:after="0"/>
              <w:rPr>
                <w:sz w:val="20"/>
                <w:szCs w:val="20"/>
                <w:color w:val="auto"/>
              </w:rPr>
            </w:pPr>
            <w:r>
              <w:rPr>
                <w:rFonts w:ascii="Arial" w:cs="Arial" w:eastAsia="Arial" w:hAnsi="Arial"/>
                <w:sz w:val="18"/>
                <w:szCs w:val="18"/>
                <w:color w:val="auto"/>
              </w:rPr>
              <w:t>- 25-</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provided by operating activities for the six months ended June 30, 2018, increased by $6.4 million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primarily due to higher sales and gross profit, offset by changes in working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flows used in investing activities are principally for payments for property, plant and equipment, which increased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2017, primarily due to continued investment in our business and expansion of our production facilities. The net cash used in investing activities for the six months ended June 30, 2017, also included a payment for the acquisition of Nanium and receipt of the remaining proceeds for the sale of the K1 factory in Korea.</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net cash used in financing activities for the six months ended June 30, 2018, was primarily due to repayments of debt in Japan.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financing activities for the six months ended June 30, 2017 was primarily due to the net borrowings in China and Japan.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For the Six Months Ended June 30,</w:t>
            </w: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206,379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199,959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(389,568)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(271,651)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130,962</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(182,586)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59,270</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June 30, 2018, and the effect such obligations are expected to have on our liquidity and cash flows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Payments Due for Year Ending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2018 -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1,330,482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88,140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390,834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210,834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530,840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227,947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34,479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66,282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53,501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40,199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33,486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104,695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14,022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25,309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16,067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8,548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29,262</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Severance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145,285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91,779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Settlement payments (4)</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19,375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19,375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1,944,746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473,765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122,856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June 30, 2018, for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June 30, 2018.</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settlement payments for patent license litigation. At June 30, 2018, the total obligation is $19.4 million of which $19.2 million is a current liability and $0.2 million will be imputed into interest over time.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obligations identified in the table above, other non-current liabilities recorded in our Consolidated Balance Sheet at June 30, 2018, include:</w:t>
      </w:r>
    </w:p>
    <w:p>
      <w:pPr>
        <w:spacing w:after="0" w:line="1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$53.5 million of net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$29.3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we had no off-balance sheet guarantees or other off-balance sheet arrangements as defined in Item 303(a)(4)(ii) of SEC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16 to our Consolidated Financial Statements in Part I, Item 1 of this Quarterly Report on Form 10-Q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 description of our critical accounting policies and estimates affecting revenue recognition, see Note 3 to our Consolidated Financial Statements in Part I, Item 1 of this Quarterly Report on Form 10-Q. Our critical accounting policies are disclosed in our Annual Report on Form 10-K for the year ended December 31, 2017. With the exception of the changes to our revenue recognition policies referenced above, there have been no significant changes in our critical accounting policies as reported in our 2017 Annual Report on Form 10-K during the three months ended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 accounting pronouncements, we refer you to Note 2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dollar is our reporting and functional currency and the functional currency for our subsidiaries, except for J-Devices, where the Japanese Yen is the functional currency. In order to reduce our exposure to foreign currency gains and losses, we generally use natural hedging techniques to reduce foreign currency rate risk. Subsequent to the quarter end, we have entered into foreign exchange forward contracts to further reduce our exposure, which are not designated as hedges for accounting purposes and are settled monthly.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2018, to assess the potential impact of fluctuations in exchange rates for all foreign denominated assets and liabilities. Assuming that all foreign currencies appreciated 10% against the U.S. dollar, our income before taxes for the six months ended June 30, 2018 would have been approximately $17 million lower, due to the remeasurement of monetary assets and liabilities. We have a significant net monetary liability at our subsidiary in Korea, principally related to our Korean severance plan.</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have foreign currency exchange rate exposure on our results of operations. For the six months ended June 30, 2018, approximately 77% of our net sales were denominated in U.S. dollars. Our remaining net sales were principally denominated in Japanese Yen for local country sales. For the six months ended June 30, 2018, approximately 49% of our cost of sales and operating expenses were denominated in U.S. dollars and were largely for raw materials and depreciation.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2018, to assess the potential impact of fluctuations in exchange rates for all foreign denominated sales and operating expenses. Assuming that all foreign currencies appreciated 10% against the U.S. dollar, our operating income for the six months ended June 30, 2018 would have been approximately $59 million lower.</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gain of $3.9 million and $12.8 million for the six months ended June 30, 2018 and 2017, respectively, and was recognized as an adjustment to equity through other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June 30,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2018 - Remaining</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249"/>
        </w:trPr>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Fixed rate debt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5,417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10,834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130,834</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210,834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530,840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888,759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898,496</w:t>
            </w:r>
          </w:p>
        </w:tc>
      </w:tr>
      <w:tr>
        <w:trPr>
          <w:trHeight w:val="276"/>
        </w:trPr>
        <w:tc>
          <w:tcPr>
            <w:tcW w:w="3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Variable rate debt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82,723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99,000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260,000</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441,723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441,842</w:t>
            </w:r>
          </w:p>
        </w:tc>
      </w:tr>
      <w:tr>
        <w:trPr>
          <w:trHeight w:val="270"/>
        </w:trPr>
        <w:tc>
          <w:tcPr>
            <w:tcW w:w="3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4"/>
                <w:szCs w:val="14"/>
                <w:color w:val="auto"/>
              </w:rPr>
              <w:t>Total debt</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88,140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109,834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390,834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210,834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530,840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1,330,482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1,340,338</w:t>
            </w: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15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2018,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 three months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16 and Note 17 to our Consolidated Financial Statements in Part I, Item 1 of this Quarterly Report on Form 10-Q and in our Annual Report on Form 10-K for the year ended December 31, 2017, respectively.</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For example, the financial crisis and global recession in 2008 and 2009 resulted in a downturn in the semiconductor industry that adversely affected our business and results of operations during those periods. The economic recovery since that time has been slow and uneven. If the industry or markets we compete in experience slower, or even negative growth, our business and results of operations may be adversely affected.</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events, such as the United Kingdom's vote to leave the European Union, political instability, civil disturbances or environmental or natural events, such as earthquakes like the recent ones in Japan, that impact our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40" w:hanging="98"/>
        <w:spacing w:after="0"/>
        <w:tabs>
          <w:tab w:leader="none" w:pos="5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980" w:hanging="648"/>
        <w:spacing w:after="0" w:line="259"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foreign governments;</w:t>
      </w:r>
    </w:p>
    <w:p>
      <w:pPr>
        <w:spacing w:after="0" w:line="132"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in April 2018.</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the preparation of our financial statements in accordance with U.S. GAAP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significant amount of indebtedness, and the terms of the agreements governing our indebtedness allow us and our subsidiaries to incur more debt, subject to certain limitations. As of June 30, 2018, our total debt balance was $1,329.6 million, of which $115.1 million was classified as a current liability and $554.5 million was collateralized indebtedness at our subsidiaries. We may consider investments in joint ventures, increased capital expenditures or acquisitions which may increase our indebtedness. If new debt is added to our consolidated debt level, the related risks that we face could intensify.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in a capital-intensive industry. We had capital expenditures of $389.6 million during the six months ended June 30, 2018.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2018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rising interest rates, could also make it difficult or more expensive for us to maintain our existing credit facilities or refinance our debt.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Indentures and Agreements Governing Our Current and Future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our future debt agreements may contain financial covenants and ratios.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$145.3 million as of June 30, 2018.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and integrated the acquired operations of Amkor Technology Malaysia Sdn. Bhd. into our overall internal control over financial reporting.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in May 2017, we completed our acquisition of Nanium. We are continuing to integrate the acquired operations into our overall internal control over financial reporting. Although we have extended our oversight and monitoring processes that support internal control over financial reporting to include the acquired operations, there is a risk that deficiencies may occur that could constitute significant deficiencies or in the aggregate a material weakness.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Management Information Systems.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depend on our management information systems for many aspects of our business. Some of our key software has been developed by our own programmers, and this software may not be easily integrated with other software and systems. Our systems may be susceptible to damage, disruptions or shutdowns due to failures during the process of upgrading, replacing or maintaining software, databases or components thereof, power outages, hardware failures, computer viruses, attacks by computer hackers, telecommunication failures, user errors, malfeasance or catastrophic events. In addition, security breaches could result in unauthorized disclosure of confidential information. From time to time we make additions or changes to our management information systems. For example, we have implemented new shop floor systems in certain of our factories, and we are integrating J-Devices' management information systems with our existing systems and processes. </w:t>
      </w:r>
      <w:r>
        <w:rPr>
          <w:rFonts w:ascii="Arial" w:cs="Arial" w:eastAsia="Arial" w:hAnsi="Arial"/>
          <w:sz w:val="17"/>
          <w:szCs w:val="17"/>
          <w:color w:val="090909"/>
        </w:rPr>
        <w:t>In addition, in May 2017, we completed our acquisition of Nanium and have begun to integrate its</w:t>
      </w:r>
      <w:r>
        <w:rPr>
          <w:rFonts w:ascii="Arial" w:cs="Arial" w:eastAsia="Arial" w:hAnsi="Arial"/>
          <w:sz w:val="17"/>
          <w:szCs w:val="17"/>
          <w:color w:val="auto"/>
        </w:rPr>
        <w:t xml:space="preserve"> </w:t>
      </w:r>
      <w:r>
        <w:rPr>
          <w:rFonts w:ascii="Arial" w:cs="Arial" w:eastAsia="Arial" w:hAnsi="Arial"/>
          <w:sz w:val="17"/>
          <w:szCs w:val="17"/>
          <w:color w:val="090909"/>
        </w:rPr>
        <w:t xml:space="preserve">management information systems into our existing systems and processes. </w:t>
      </w:r>
      <w:r>
        <w:rPr>
          <w:rFonts w:ascii="Arial" w:cs="Arial" w:eastAsia="Arial" w:hAnsi="Arial"/>
          <w:sz w:val="17"/>
          <w:szCs w:val="17"/>
          <w:color w:val="000000"/>
        </w:rPr>
        <w:t>We face risks in connection with current and future projects to install or integrate</w:t>
      </w:r>
      <w:r>
        <w:rPr>
          <w:rFonts w:ascii="Arial" w:cs="Arial" w:eastAsia="Arial" w:hAnsi="Arial"/>
          <w:sz w:val="17"/>
          <w:szCs w:val="17"/>
          <w:color w:val="090909"/>
        </w:rPr>
        <w:t xml:space="preserve"> </w:t>
      </w:r>
      <w:r>
        <w:rPr>
          <w:rFonts w:ascii="Arial" w:cs="Arial" w:eastAsia="Arial" w:hAnsi="Arial"/>
          <w:sz w:val="17"/>
          <w:szCs w:val="17"/>
          <w:color w:val="000000"/>
        </w:rPr>
        <w:t>new management information systems or upgrade our existing systems. These risks include:</w:t>
      </w:r>
    </w:p>
    <w:p>
      <w:pPr>
        <w:spacing w:after="0" w:line="12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management information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and Retain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July 2013 and May 2017, we completed the purchase of Amkor Technology Malaysia Sdn. Bhd. and Nanium, respectively. Additionally, we increased our investment in J-Devices to 100% in 2015 through the exercise of additional options. We are now integrating these acquired entities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67% of our net sales for the year ended December 31, 2017, and one customer accounted for more than 10% of our consolidated net sales during the period. In addition, we have significant customer concentration within our end markets. The loss of a significant customer, a business combination among our customers, a reduction in orders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year to year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For example, we expect that our 2018 capital expenditures will be approximately $600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2014, we started the construction of K5. The land purchase agreement includes various construction, investment, hiring, regulatory and other compliance obligations. While we completed the initial phase of construction in December 2016, there can be no assurance regarding when K5 will be fully utilized, or that the actual scope, costs, timeline or benefits of the project will be consistent with our current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ind w:right="2700"/>
        <w:spacing w:after="0" w:line="277" w:lineRule="auto"/>
        <w:rPr>
          <w:sz w:val="20"/>
          <w:szCs w:val="20"/>
          <w:color w:val="auto"/>
        </w:rPr>
      </w:pPr>
      <w:r>
        <w:rPr>
          <w:rFonts w:ascii="Arial" w:cs="Arial" w:eastAsia="Arial" w:hAnsi="Arial"/>
          <w:sz w:val="18"/>
          <w:szCs w:val="18"/>
          <w:b w:val="1"/>
          <w:bCs w:val="1"/>
          <w:i w:val="1"/>
          <w:iCs w:val="1"/>
          <w:color w:val="auto"/>
        </w:rPr>
        <w:t>The Enactment of Recent Tax Reform Could Materially Impact Our Financial Position and Results of Operations for the Period Ending December 31, 2017 and for Subsequent Periods.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22, 2017, the Tax Cuts and Jobs Act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now expect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Our provisional estimates and preliminary view of the impact of the Tax Act are uncertain and may be adjusted in future periods as a result of the ongoing analysis of our tax positions and any new guidance from regulators and other interpretations of the law. Changes to our provisional estimate of the impacts of the Tax Act could be material to income tax expense.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Unfavorable outcomes in any legal proceedings involving intellectual property could result in significant liabilities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Japan experienced a severe earthquake and tsunami in 2011 that resulted in significant disruption in the electronics industry supply chain and adversely affected Japan's economy and consumer spending. In addition, in October 2011, Thailand experienced substantial flooding which affected the facilities and operations of customers and suppliers in our industry. In addition, some of the processes that we utilize in our operations place us at risk of fire and other damage. For example, highly flammable gases are used in the preparation of wafers holding semiconductor devices for flip chip packaging. 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2018, Mr. James J. Kim, the Executive Chairman of our Board of Directors, Mr. John T. Kim, the Executive Vice Chairman of our Board of Directors, Ms. Susan Y. Kim, member of our Board of Directors, and members of the Kim family and affiliates owned approximately 137.6 million shares, or approximately 57%, of our outstanding common stock. The Kim family also has options to acquire approximately 0.3 million shares. If the options are exercised, the Kim family's total ownership would be an aggregate of approximately 137.9 million shares of our outstanding common stock or approximately 57%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For the three months ended June 30, 2018, we made no common stock purchases, and at June 30, 2018, approximately $91.6 million was available pursuant to the stock repurchase program.</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Item 601 of Regulation S-K which are filed with this report are set forth in the Exhibit Index.</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EXHIBIT INDEX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2000" w:type="dxa"/>
            <w:vAlign w:val="bottom"/>
          </w:tcPr>
          <w:p>
            <w:pPr>
              <w:jc w:val="center"/>
              <w:ind w:left="1014"/>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8"/>
              </w:rPr>
              <w:t>Exhibit</w:t>
            </w:r>
          </w:p>
        </w:tc>
        <w:tc>
          <w:tcPr>
            <w:tcW w:w="5220" w:type="dxa"/>
            <w:vAlign w:val="bottom"/>
            <w:gridSpan w:val="11"/>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5220" w:type="dxa"/>
            <w:vAlign w:val="bottom"/>
            <w:tcBorders>
              <w:bottom w:val="single" w:sz="8" w:color="auto"/>
            </w:tcBorders>
            <w:gridSpan w:val="11"/>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gridSpan w:val="4"/>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220" w:type="dxa"/>
            <w:vAlign w:val="bottom"/>
            <w:gridSpan w:val="11"/>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Certification of Stephen D. Kelley, President and Chief Executive</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jc w:val="center"/>
              <w:ind w:left="1014"/>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20" w:type="dxa"/>
            <w:vAlign w:val="bottom"/>
            <w:gridSpan w:val="11"/>
          </w:tcPr>
          <w:p>
            <w:pPr>
              <w:spacing w:after="0" w:line="196" w:lineRule="exact"/>
              <w:rPr>
                <w:rFonts w:ascii="Arial" w:cs="Arial" w:eastAsia="Arial" w:hAnsi="Arial"/>
                <w:sz w:val="18"/>
                <w:szCs w:val="18"/>
                <w:color w:val="0000FF"/>
                <w:w w:val="95"/>
              </w:rPr>
            </w:pPr>
            <w:hyperlink w:anchor="page50">
              <w:r>
                <w:rPr>
                  <w:rFonts w:ascii="Arial" w:cs="Arial" w:eastAsia="Arial" w:hAnsi="Arial"/>
                  <w:sz w:val="18"/>
                  <w:szCs w:val="18"/>
                  <w:color w:val="0000FF"/>
                  <w:w w:val="95"/>
                </w:rPr>
                <w:t>Officer of Amkor Technology, Inc., pursuant to Rule 13a-14(a) under</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80" w:type="dxa"/>
            <w:vAlign w:val="bottom"/>
            <w:tcBorders>
              <w:top w:val="single" w:sz="8" w:color="0000FF"/>
            </w:tcBorders>
            <w:gridSpan w:val="8"/>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the Securities Exchange Act of 1934, as adopted pursuant to Section</w:t>
              </w:r>
            </w:hyperlink>
          </w:p>
        </w:tc>
        <w:tc>
          <w:tcPr>
            <w:tcW w:w="24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302 of the Sarbanes-Oxley Act of 2002.</w:t>
              </w:r>
            </w:hyperlink>
          </w:p>
        </w:tc>
        <w:tc>
          <w:tcPr>
            <w:tcW w:w="2040" w:type="dxa"/>
            <w:vAlign w:val="bottom"/>
            <w:tcBorders>
              <w:top w:val="single" w:sz="8" w:color="0000FF"/>
            </w:tcBorders>
            <w:gridSpan w:val="5"/>
          </w:tcPr>
          <w:p>
            <w:pPr>
              <w:spacing w:after="0"/>
              <w:rPr>
                <w:sz w:val="17"/>
                <w:szCs w:val="17"/>
                <w:color w:val="auto"/>
              </w:rPr>
            </w:pPr>
          </w:p>
        </w:tc>
        <w:tc>
          <w:tcPr>
            <w:tcW w:w="3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4"/>
          </w:tcPr>
          <w:p>
            <w:pPr>
              <w:ind w:left="40"/>
              <w:spacing w:after="0"/>
              <w:rPr>
                <w:rFonts w:ascii="Arial" w:cs="Arial" w:eastAsia="Arial" w:hAnsi="Arial"/>
                <w:sz w:val="18"/>
                <w:szCs w:val="18"/>
                <w:color w:val="0000FF"/>
              </w:rPr>
            </w:pPr>
            <w:hyperlink w:anchor="page51">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220" w:type="dxa"/>
            <w:vAlign w:val="bottom"/>
            <w:gridSpan w:val="11"/>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Megan Faust, Corporate Vice President and Chief</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20" w:type="dxa"/>
            <w:vAlign w:val="bottom"/>
            <w:gridSpan w:val="11"/>
          </w:tcPr>
          <w:p>
            <w:pPr>
              <w:spacing w:after="0" w:line="196"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Financial Officer of Amkor Technology, Inc., pursuant to Rule 13a-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20" w:type="dxa"/>
            <w:vAlign w:val="bottom"/>
            <w:gridSpan w:val="11"/>
          </w:tcPr>
          <w:p>
            <w:pPr>
              <w:spacing w:after="0" w:line="196" w:lineRule="exact"/>
              <w:rPr>
                <w:rFonts w:ascii="Arial" w:cs="Arial" w:eastAsia="Arial" w:hAnsi="Arial"/>
                <w:sz w:val="18"/>
                <w:szCs w:val="18"/>
                <w:color w:val="0000FF"/>
                <w:w w:val="92"/>
              </w:rPr>
            </w:pPr>
            <w:hyperlink w:anchor="page51">
              <w:r>
                <w:rPr>
                  <w:rFonts w:ascii="Arial" w:cs="Arial" w:eastAsia="Arial" w:hAnsi="Arial"/>
                  <w:sz w:val="18"/>
                  <w:szCs w:val="18"/>
                  <w:color w:val="0000FF"/>
                  <w:w w:val="92"/>
                </w:rPr>
                <w:t>14(a) under the Securities Exchange Act of 1934, as adopted pursuant</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to Section 302 of the Sarbanes-Oxley Act of 2002.</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gridSpan w:val="2"/>
          </w:tcPr>
          <w:p>
            <w:pPr>
              <w:ind w:left="4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32</w:t>
              </w:r>
            </w:hyperlink>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20" w:type="dxa"/>
            <w:vAlign w:val="bottom"/>
            <w:gridSpan w:val="11"/>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Certification of Chief Executive Officer and Chief Financial Officer</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6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pursuant to 18 U.S.C. Section 1350, as adopted pursuant to Section 906</w:t>
              </w:r>
            </w:hyperlink>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of the Sarbanes-Oxley Act of 2002.</w:t>
              </w:r>
            </w:hyperlink>
          </w:p>
        </w:tc>
        <w:tc>
          <w:tcPr>
            <w:tcW w:w="266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91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20" w:type="dxa"/>
            <w:vAlign w:val="bottom"/>
            <w:gridSpan w:val="4"/>
          </w:tcPr>
          <w:p>
            <w:pPr>
              <w:ind w:left="4340"/>
              <w:spacing w:after="0"/>
              <w:rPr>
                <w:sz w:val="20"/>
                <w:szCs w:val="20"/>
                <w:color w:val="auto"/>
              </w:rPr>
            </w:pPr>
            <w:r>
              <w:rPr>
                <w:rFonts w:ascii="Arial" w:cs="Arial" w:eastAsia="Arial" w:hAnsi="Arial"/>
                <w:sz w:val="18"/>
                <w:szCs w:val="18"/>
                <w:color w:val="auto"/>
                <w:w w:val="91"/>
              </w:rPr>
              <w:t>- 48-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ectPr>
          <w:pgSz w:w="11900" w:h="16838" w:orient="portrait"/>
          <w:cols w:equalWidth="0" w:num="1">
            <w:col w:w="11420"/>
          </w:cols>
          <w:pgMar w:left="240" w:top="66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Amkor Technology, Inc. (the “Company”) on Form 10-Q for the period ended June 30, 2018,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127"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June 30, 2018,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endash "/>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lvl w:ilvl="1">
      <w:lvlJc w:val="left"/>
      <w:lvlText w:val="-"/>
      <w:numFmt w:val="bullet"/>
      <w:start w:val="1"/>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lvl w:ilvl="1">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2019-12-28T21:09:50Z</dcterms:created>
  <dcterms:modified xsi:type="dcterms:W3CDTF">2019-12-28T21:09:50Z</dcterms:modified>
</cp:coreProperties>
</file>