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9" w:lineRule="exact"/>
        <w:rPr>
          <w:sz w:val="24"/>
          <w:szCs w:val="24"/>
          <w:color w:val="auto"/>
        </w:rPr>
      </w:pPr>
    </w:p>
    <w:tbl>
      <w:tblPr>
        <w:tblLayout w:type="fixed"/>
        <w:tblInd w:w="60" w:type="dxa"/>
        <w:tblCellMar>
          <w:top w:w="0" w:type="dxa"/>
          <w:left w:w="0" w:type="dxa"/>
          <w:bottom w:w="0" w:type="dxa"/>
          <w:right w:w="0" w:type="dxa"/>
        </w:tblCellMar>
      </w:tblPr>
      <w:tr>
        <w:trPr>
          <w:trHeight w:val="334"/>
        </w:trPr>
        <w:tc>
          <w:tcPr>
            <w:tcW w:w="3260" w:type="dxa"/>
            <w:vAlign w:val="bottom"/>
          </w:tcPr>
          <w:p>
            <w:pPr>
              <w:spacing w:after="0"/>
              <w:rPr>
                <w:sz w:val="24"/>
                <w:szCs w:val="24"/>
                <w:color w:val="auto"/>
              </w:rPr>
            </w:pPr>
          </w:p>
        </w:tc>
        <w:tc>
          <w:tcPr>
            <w:tcW w:w="3840" w:type="dxa"/>
            <w:vAlign w:val="bottom"/>
          </w:tcPr>
          <w:p>
            <w:pPr>
              <w:jc w:val="center"/>
              <w:ind w:left="667"/>
              <w:spacing w:after="0"/>
              <w:rPr>
                <w:sz w:val="20"/>
                <w:szCs w:val="20"/>
                <w:color w:val="auto"/>
              </w:rPr>
            </w:pPr>
            <w:r>
              <w:rPr>
                <w:rFonts w:ascii="Times New Roman" w:cs="Times New Roman" w:eastAsia="Times New Roman" w:hAnsi="Times New Roman"/>
                <w:sz w:val="25"/>
                <w:szCs w:val="25"/>
                <w:b w:val="1"/>
                <w:bCs w:val="1"/>
                <w:color w:val="auto"/>
              </w:rPr>
              <w:t>Form 10-K</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114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ANNUAL REPORT PURSUANT TO SECTION 13 OR 15(d)</w:t>
            </w:r>
          </w:p>
        </w:tc>
        <w:tc>
          <w:tcPr>
            <w:tcW w:w="0" w:type="dxa"/>
            <w:vAlign w:val="bottom"/>
          </w:tcPr>
          <w:p>
            <w:pPr>
              <w:spacing w:after="0"/>
              <w:rPr>
                <w:sz w:val="1"/>
                <w:szCs w:val="1"/>
                <w:color w:val="auto"/>
              </w:rPr>
            </w:pPr>
          </w:p>
        </w:tc>
      </w:tr>
      <w:tr>
        <w:trPr>
          <w:trHeight w:val="262"/>
        </w:trPr>
        <w:tc>
          <w:tcPr>
            <w:tcW w:w="3260" w:type="dxa"/>
            <w:vAlign w:val="bottom"/>
          </w:tcPr>
          <w:p>
            <w:pPr>
              <w:spacing w:after="0"/>
              <w:rPr>
                <w:sz w:val="22"/>
                <w:szCs w:val="22"/>
                <w:color w:val="auto"/>
              </w:rPr>
            </w:pPr>
          </w:p>
        </w:tc>
        <w:tc>
          <w:tcPr>
            <w:tcW w:w="7880" w:type="dxa"/>
            <w:vAlign w:val="bottom"/>
            <w:gridSpan w:val="2"/>
          </w:tcPr>
          <w:p>
            <w:pPr>
              <w:jc w:val="center"/>
              <w:ind w:right="3179"/>
              <w:spacing w:after="0"/>
              <w:rPr>
                <w:sz w:val="20"/>
                <w:szCs w:val="20"/>
                <w:color w:val="auto"/>
              </w:rPr>
            </w:pPr>
            <w:r>
              <w:rPr>
                <w:rFonts w:ascii="Times New Roman" w:cs="Times New Roman" w:eastAsia="Times New Roman" w:hAnsi="Times New Roman"/>
                <w:sz w:val="20"/>
                <w:szCs w:val="20"/>
                <w:b w:val="1"/>
                <w:bCs w:val="1"/>
                <w:color w:val="auto"/>
                <w:w w:val="98"/>
              </w:rPr>
              <w:t>OF THE SECURITIES EXCHANGE ACT OF 1934</w:t>
            </w:r>
          </w:p>
        </w:tc>
        <w:tc>
          <w:tcPr>
            <w:tcW w:w="0" w:type="dxa"/>
            <w:vAlign w:val="bottom"/>
          </w:tcPr>
          <w:p>
            <w:pPr>
              <w:spacing w:after="0"/>
              <w:rPr>
                <w:sz w:val="1"/>
                <w:szCs w:val="1"/>
                <w:color w:val="auto"/>
              </w:rPr>
            </w:pPr>
          </w:p>
        </w:tc>
      </w:tr>
      <w:tr>
        <w:trPr>
          <w:trHeight w:val="296"/>
        </w:trPr>
        <w:tc>
          <w:tcPr>
            <w:tcW w:w="3260" w:type="dxa"/>
            <w:vAlign w:val="bottom"/>
          </w:tcPr>
          <w:p>
            <w:pPr>
              <w:spacing w:after="0"/>
              <w:rPr>
                <w:sz w:val="24"/>
                <w:szCs w:val="24"/>
                <w:color w:val="auto"/>
              </w:rPr>
            </w:pPr>
          </w:p>
        </w:tc>
        <w:tc>
          <w:tcPr>
            <w:tcW w:w="7880" w:type="dxa"/>
            <w:vAlign w:val="bottom"/>
            <w:gridSpan w:val="2"/>
          </w:tcPr>
          <w:p>
            <w:pPr>
              <w:jc w:val="center"/>
              <w:ind w:right="3179"/>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2022</w:t>
            </w:r>
          </w:p>
        </w:tc>
        <w:tc>
          <w:tcPr>
            <w:tcW w:w="0" w:type="dxa"/>
            <w:vAlign w:val="bottom"/>
          </w:tcPr>
          <w:p>
            <w:pPr>
              <w:spacing w:after="0"/>
              <w:rPr>
                <w:sz w:val="1"/>
                <w:szCs w:val="1"/>
                <w:color w:val="auto"/>
              </w:rPr>
            </w:pPr>
          </w:p>
        </w:tc>
      </w:tr>
      <w:tr>
        <w:trPr>
          <w:trHeight w:val="207"/>
        </w:trPr>
        <w:tc>
          <w:tcPr>
            <w:tcW w:w="3260" w:type="dxa"/>
            <w:vAlign w:val="bottom"/>
          </w:tcPr>
          <w:p>
            <w:pPr>
              <w:spacing w:after="0"/>
              <w:rPr>
                <w:sz w:val="18"/>
                <w:szCs w:val="18"/>
                <w:color w:val="auto"/>
              </w:rPr>
            </w:pPr>
          </w:p>
        </w:tc>
        <w:tc>
          <w:tcPr>
            <w:tcW w:w="3840" w:type="dxa"/>
            <w:vAlign w:val="bottom"/>
          </w:tcPr>
          <w:p>
            <w:pPr>
              <w:jc w:val="center"/>
              <w:ind w:left="667"/>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3260" w:type="dxa"/>
            <w:vAlign w:val="bottom"/>
          </w:tcPr>
          <w:p>
            <w:pPr>
              <w:spacing w:after="0"/>
              <w:rPr>
                <w:sz w:val="24"/>
                <w:szCs w:val="24"/>
                <w:color w:val="auto"/>
              </w:rPr>
            </w:pPr>
          </w:p>
        </w:tc>
        <w:tc>
          <w:tcPr>
            <w:tcW w:w="7880" w:type="dxa"/>
            <w:vAlign w:val="bottom"/>
            <w:gridSpan w:val="2"/>
          </w:tcPr>
          <w:p>
            <w:pPr>
              <w:jc w:val="center"/>
              <w:ind w:right="3199"/>
              <w:spacing w:after="0"/>
              <w:rPr>
                <w:sz w:val="20"/>
                <w:szCs w:val="20"/>
                <w:color w:val="auto"/>
              </w:rPr>
            </w:pPr>
            <w:r>
              <w:rPr>
                <w:rFonts w:ascii="Times New Roman" w:cs="Times New Roman" w:eastAsia="Times New Roman" w:hAnsi="Times New Roman"/>
                <w:sz w:val="36"/>
                <w:szCs w:val="36"/>
                <w:b w:val="1"/>
                <w:bCs w:val="1"/>
                <w:color w:val="auto"/>
                <w:w w:val="98"/>
              </w:rPr>
              <w:t>Amkor Technology, Inc.</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3840" w:type="dxa"/>
            <w:vAlign w:val="bottom"/>
          </w:tcPr>
          <w:p>
            <w:pPr>
              <w:jc w:val="center"/>
              <w:ind w:left="667"/>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4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3260" w:type="dxa"/>
            <w:vAlign w:val="bottom"/>
          </w:tcPr>
          <w:p>
            <w:pPr>
              <w:ind w:left="14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40" w:type="dxa"/>
            <w:vAlign w:val="bottom"/>
          </w:tcPr>
          <w:p>
            <w:pPr>
              <w:spacing w:after="0"/>
              <w:rPr>
                <w:sz w:val="24"/>
                <w:szCs w:val="24"/>
                <w:color w:val="auto"/>
              </w:rPr>
            </w:pPr>
          </w:p>
        </w:tc>
        <w:tc>
          <w:tcPr>
            <w:tcW w:w="40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23-1722724</w:t>
            </w:r>
          </w:p>
        </w:tc>
        <w:tc>
          <w:tcPr>
            <w:tcW w:w="0" w:type="dxa"/>
            <w:vAlign w:val="bottom"/>
          </w:tcPr>
          <w:p>
            <w:pPr>
              <w:spacing w:after="0"/>
              <w:rPr>
                <w:sz w:val="1"/>
                <w:szCs w:val="1"/>
                <w:color w:val="auto"/>
              </w:rPr>
            </w:pPr>
          </w:p>
        </w:tc>
      </w:tr>
      <w:tr>
        <w:trPr>
          <w:trHeight w:val="168"/>
        </w:trPr>
        <w:tc>
          <w:tcPr>
            <w:tcW w:w="3260" w:type="dxa"/>
            <w:vAlign w:val="bottom"/>
            <w:vMerge w:val="restart"/>
          </w:tcPr>
          <w:p>
            <w:pPr>
              <w:ind w:left="960"/>
              <w:spacing w:after="0"/>
              <w:rPr>
                <w:sz w:val="20"/>
                <w:szCs w:val="20"/>
                <w:color w:val="auto"/>
              </w:rPr>
            </w:pPr>
            <w:r>
              <w:rPr>
                <w:rFonts w:ascii="Times New Roman" w:cs="Times New Roman" w:eastAsia="Times New Roman" w:hAnsi="Times New Roman"/>
                <w:sz w:val="16"/>
                <w:szCs w:val="16"/>
                <w:i w:val="1"/>
                <w:iCs w:val="1"/>
                <w:color w:val="auto"/>
              </w:rPr>
              <w:t>(State of incorporation)</w:t>
            </w:r>
          </w:p>
        </w:tc>
        <w:tc>
          <w:tcPr>
            <w:tcW w:w="3840" w:type="dxa"/>
            <w:vAlign w:val="bottom"/>
          </w:tcPr>
          <w:p>
            <w:pPr>
              <w:spacing w:after="0"/>
              <w:rPr>
                <w:sz w:val="14"/>
                <w:szCs w:val="14"/>
                <w:color w:val="auto"/>
              </w:rPr>
            </w:pPr>
          </w:p>
        </w:tc>
        <w:tc>
          <w:tcPr>
            <w:tcW w:w="4040" w:type="dxa"/>
            <w:vAlign w:val="bottom"/>
          </w:tcPr>
          <w:p>
            <w:pPr>
              <w:jc w:val="center"/>
              <w:ind w:left="47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c>
          <w:tcPr>
            <w:tcW w:w="0" w:type="dxa"/>
            <w:vAlign w:val="bottom"/>
          </w:tcPr>
          <w:p>
            <w:pPr>
              <w:spacing w:after="0"/>
              <w:rPr>
                <w:sz w:val="1"/>
                <w:szCs w:val="1"/>
                <w:color w:val="auto"/>
              </w:rPr>
            </w:pPr>
          </w:p>
        </w:tc>
      </w:tr>
      <w:tr>
        <w:trPr>
          <w:trHeight w:val="129"/>
        </w:trPr>
        <w:tc>
          <w:tcPr>
            <w:tcW w:w="3260" w:type="dxa"/>
            <w:vAlign w:val="bottom"/>
            <w:vMerge w:val="continue"/>
          </w:tcPr>
          <w:p>
            <w:pPr>
              <w:spacing w:after="0"/>
              <w:rPr>
                <w:sz w:val="11"/>
                <w:szCs w:val="11"/>
                <w:color w:val="auto"/>
              </w:rPr>
            </w:pPr>
          </w:p>
        </w:tc>
        <w:tc>
          <w:tcPr>
            <w:tcW w:w="3840" w:type="dxa"/>
            <w:vAlign w:val="bottom"/>
          </w:tcPr>
          <w:p>
            <w:pPr>
              <w:spacing w:after="0"/>
              <w:rPr>
                <w:sz w:val="11"/>
                <w:szCs w:val="11"/>
                <w:color w:val="auto"/>
              </w:rPr>
            </w:pPr>
          </w:p>
        </w:tc>
        <w:tc>
          <w:tcPr>
            <w:tcW w:w="4040" w:type="dxa"/>
            <w:vAlign w:val="bottom"/>
            <w:vMerge w:val="restart"/>
          </w:tcPr>
          <w:p>
            <w:pPr>
              <w:jc w:val="center"/>
              <w:ind w:left="459"/>
              <w:spacing w:after="0"/>
              <w:rPr>
                <w:sz w:val="20"/>
                <w:szCs w:val="20"/>
                <w:color w:val="auto"/>
              </w:rPr>
            </w:pPr>
            <w:r>
              <w:rPr>
                <w:rFonts w:ascii="Times New Roman" w:cs="Times New Roman" w:eastAsia="Times New Roman" w:hAnsi="Times New Roman"/>
                <w:sz w:val="16"/>
                <w:szCs w:val="16"/>
                <w:i w:val="1"/>
                <w:iCs w:val="1"/>
                <w:color w:val="auto"/>
              </w:rPr>
              <w:t>Identification Number)</w:t>
            </w:r>
          </w:p>
        </w:tc>
        <w:tc>
          <w:tcPr>
            <w:tcW w:w="0" w:type="dxa"/>
            <w:vAlign w:val="bottom"/>
          </w:tcPr>
          <w:p>
            <w:pPr>
              <w:spacing w:after="0"/>
              <w:rPr>
                <w:sz w:val="1"/>
                <w:szCs w:val="1"/>
                <w:color w:val="auto"/>
              </w:rPr>
            </w:pPr>
          </w:p>
        </w:tc>
      </w:tr>
      <w:tr>
        <w:trPr>
          <w:trHeight w:val="83"/>
        </w:trPr>
        <w:tc>
          <w:tcPr>
            <w:tcW w:w="3260" w:type="dxa"/>
            <w:vAlign w:val="bottom"/>
          </w:tcPr>
          <w:p>
            <w:pPr>
              <w:spacing w:after="0"/>
              <w:rPr>
                <w:sz w:val="7"/>
                <w:szCs w:val="7"/>
                <w:color w:val="auto"/>
              </w:rPr>
            </w:pPr>
          </w:p>
        </w:tc>
        <w:tc>
          <w:tcPr>
            <w:tcW w:w="384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3260" w:type="dxa"/>
            <w:vAlign w:val="bottom"/>
          </w:tcPr>
          <w:p>
            <w:pPr>
              <w:spacing w:after="0"/>
              <w:rPr>
                <w:sz w:val="23"/>
                <w:szCs w:val="23"/>
                <w:color w:val="auto"/>
              </w:rPr>
            </w:pPr>
          </w:p>
        </w:tc>
        <w:tc>
          <w:tcPr>
            <w:tcW w:w="3840" w:type="dxa"/>
            <w:vAlign w:val="bottom"/>
          </w:tcPr>
          <w:p>
            <w:pPr>
              <w:jc w:val="center"/>
              <w:ind w:left="667"/>
              <w:spacing w:after="0"/>
              <w:rPr>
                <w:sz w:val="20"/>
                <w:szCs w:val="20"/>
                <w:color w:val="auto"/>
              </w:rPr>
            </w:pPr>
            <w:r>
              <w:rPr>
                <w:rFonts w:ascii="Times New Roman" w:cs="Times New Roman" w:eastAsia="Times New Roman" w:hAnsi="Times New Roman"/>
                <w:sz w:val="16"/>
                <w:szCs w:val="16"/>
                <w:b w:val="1"/>
                <w:bCs w:val="1"/>
                <w:color w:val="auto"/>
              </w:rPr>
              <w:t>2045 East Innovation Circle</w:t>
            </w:r>
          </w:p>
        </w:tc>
        <w:tc>
          <w:tcPr>
            <w:tcW w:w="4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3840" w:type="dxa"/>
            <w:vAlign w:val="bottom"/>
          </w:tcPr>
          <w:p>
            <w:pPr>
              <w:jc w:val="center"/>
              <w:ind w:left="687"/>
              <w:spacing w:after="0" w:line="180" w:lineRule="exact"/>
              <w:rPr>
                <w:sz w:val="20"/>
                <w:szCs w:val="20"/>
                <w:color w:val="auto"/>
              </w:rPr>
            </w:pPr>
            <w:r>
              <w:rPr>
                <w:rFonts w:ascii="Times New Roman" w:cs="Times New Roman" w:eastAsia="Times New Roman" w:hAnsi="Times New Roman"/>
                <w:sz w:val="16"/>
                <w:szCs w:val="16"/>
                <w:b w:val="1"/>
                <w:bCs w:val="1"/>
                <w:color w:val="auto"/>
              </w:rPr>
              <w:t>Tempe, AZ 85284</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60" w:type="dxa"/>
            <w:vAlign w:val="bottom"/>
          </w:tcPr>
          <w:p>
            <w:pPr>
              <w:spacing w:after="0"/>
              <w:rPr>
                <w:sz w:val="16"/>
                <w:szCs w:val="16"/>
                <w:color w:val="auto"/>
              </w:rPr>
            </w:pPr>
          </w:p>
        </w:tc>
        <w:tc>
          <w:tcPr>
            <w:tcW w:w="3840" w:type="dxa"/>
            <w:vAlign w:val="bottom"/>
          </w:tcPr>
          <w:p>
            <w:pPr>
              <w:jc w:val="center"/>
              <w:ind w:left="66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c>
          <w:tcPr>
            <w:tcW w:w="4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3840" w:type="dxa"/>
            <w:vAlign w:val="bottom"/>
          </w:tcPr>
          <w:p>
            <w:pPr>
              <w:jc w:val="center"/>
              <w:ind w:left="687"/>
              <w:spacing w:after="0" w:line="180" w:lineRule="exact"/>
              <w:rPr>
                <w:sz w:val="20"/>
                <w:szCs w:val="20"/>
                <w:color w:val="auto"/>
              </w:rPr>
            </w:pPr>
            <w:r>
              <w:rPr>
                <w:rFonts w:ascii="Times New Roman" w:cs="Times New Roman" w:eastAsia="Times New Roman" w:hAnsi="Times New Roman"/>
                <w:sz w:val="16"/>
                <w:szCs w:val="16"/>
                <w:b w:val="1"/>
                <w:bCs w:val="1"/>
                <w:color w:val="auto"/>
              </w:rPr>
              <w:t>(480) 821-5000</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3840" w:type="dxa"/>
            <w:vAlign w:val="bottom"/>
          </w:tcPr>
          <w:p>
            <w:pPr>
              <w:jc w:val="center"/>
              <w:ind w:left="667"/>
              <w:spacing w:after="0"/>
              <w:rPr>
                <w:sz w:val="20"/>
                <w:szCs w:val="20"/>
                <w:color w:val="auto"/>
              </w:rPr>
            </w:pPr>
            <w:r>
              <w:rPr>
                <w:rFonts w:ascii="Times New Roman" w:cs="Times New Roman" w:eastAsia="Times New Roman" w:hAnsi="Times New Roman"/>
                <w:sz w:val="14"/>
                <w:szCs w:val="14"/>
                <w:i w:val="1"/>
                <w:iCs w:val="1"/>
                <w:color w:val="auto"/>
              </w:rPr>
              <w:t>(Telephone number, including area code)</w:t>
            </w:r>
          </w:p>
        </w:tc>
        <w:tc>
          <w:tcPr>
            <w:tcW w:w="4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3260" w:type="dxa"/>
            <w:vAlign w:val="bottom"/>
          </w:tcPr>
          <w:p>
            <w:pPr>
              <w:spacing w:after="0"/>
              <w:rPr>
                <w:sz w:val="24"/>
                <w:szCs w:val="24"/>
                <w:color w:val="auto"/>
              </w:rPr>
            </w:pPr>
          </w:p>
        </w:tc>
        <w:tc>
          <w:tcPr>
            <w:tcW w:w="7880" w:type="dxa"/>
            <w:vAlign w:val="bottom"/>
            <w:gridSpan w:val="2"/>
          </w:tcPr>
          <w:p>
            <w:pPr>
              <w:jc w:val="center"/>
              <w:ind w:right="319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334"/>
        </w:trPr>
        <w:tc>
          <w:tcPr>
            <w:tcW w:w="3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40" w:type="dxa"/>
            <w:vAlign w:val="bottom"/>
            <w:tcBorders>
              <w:bottom w:val="single" w:sz="8" w:color="auto"/>
            </w:tcBorders>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40" w:type="dxa"/>
            <w:vAlign w:val="bottom"/>
            <w:tcBorders>
              <w:bottom w:val="single" w:sz="8" w:color="auto"/>
            </w:tcBorders>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7"/>
        </w:trPr>
        <w:tc>
          <w:tcPr>
            <w:tcW w:w="3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3840" w:type="dxa"/>
            <w:vAlign w:val="bottom"/>
          </w:tcPr>
          <w:p>
            <w:pPr>
              <w:jc w:val="center"/>
              <w:ind w:left="27"/>
              <w:spacing w:after="0"/>
              <w:rPr>
                <w:sz w:val="20"/>
                <w:szCs w:val="20"/>
                <w:color w:val="auto"/>
              </w:rPr>
            </w:pPr>
            <w:r>
              <w:rPr>
                <w:rFonts w:ascii="Times New Roman" w:cs="Times New Roman" w:eastAsia="Times New Roman" w:hAnsi="Times New Roman"/>
                <w:sz w:val="16"/>
                <w:szCs w:val="16"/>
                <w:color w:val="auto"/>
                <w:w w:val="99"/>
              </w:rPr>
              <w:t>AMKR</w:t>
            </w:r>
          </w:p>
        </w:tc>
        <w:tc>
          <w:tcPr>
            <w:tcW w:w="40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11240"/>
          </w:cols>
          <w:pgMar w:left="320" w:top="1328" w:right="339" w:bottom="1440" w:gutter="0" w:footer="0" w:header="0"/>
        </w:sectPr>
      </w:pPr>
    </w:p>
    <w:p>
      <w:pPr>
        <w:spacing w:after="0" w:line="8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7200" w:space="180"/>
            <w:col w:w="3860"/>
          </w:cols>
          <w:pgMar w:left="320" w:top="1328" w:right="339" w:bottom="1440" w:gutter="0" w:footer="0" w:header="0"/>
          <w:type w:val="continuous"/>
        </w:sect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3" w:lineRule="exact"/>
        <w:rPr>
          <w:sz w:val="24"/>
          <w:szCs w:val="24"/>
          <w:color w:val="auto"/>
        </w:rPr>
      </w:pPr>
    </w:p>
    <w:p>
      <w:pPr>
        <w:sectPr>
          <w:pgSz w:w="11900" w:h="16838" w:orient="portrait"/>
          <w:cols w:equalWidth="0" w:num="2">
            <w:col w:w="7340" w:space="180"/>
            <w:col w:w="3720"/>
          </w:cols>
          <w:pgMar w:left="320" w:top="1328"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280" w:type="dxa"/>
        <w:tblCellMar>
          <w:top w:w="0" w:type="dxa"/>
          <w:left w:w="0" w:type="dxa"/>
          <w:bottom w:w="0" w:type="dxa"/>
          <w:right w:w="0" w:type="dxa"/>
        </w:tblCellMar>
      </w:tblPr>
      <w:tr>
        <w:trPr>
          <w:trHeight w:val="226"/>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5"/>
        </w:trPr>
        <w:tc>
          <w:tcPr>
            <w:tcW w:w="14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spacing w:after="0" w:line="30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2" w:lineRule="exact"/>
        <w:rPr>
          <w:sz w:val="24"/>
          <w:szCs w:val="24"/>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2022, based upon the closing price of the common stock as reported by the Nasdaq Global Select Market on that date, was approximately $1,732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issuer’s classes of common equity, as of February 17, 2023, was as follows: 245,284,192 shares of Common Stock, $0.001 par value.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6"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4"/>
          <w:szCs w:val="14"/>
          <w:color w:val="auto"/>
        </w:rPr>
        <w:t>Portions of the registrant’s Proxy Statement relating to its 2023 Annual Meeting of Stockholders, to be filed subsequently, are incorporated by reference into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300" w:type="dxa"/>
            <w:vAlign w:val="bottom"/>
            <w:gridSpan w:val="7"/>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5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620" w:type="dxa"/>
            <w:vAlign w:val="bottom"/>
            <w:vMerge w:val="restart"/>
          </w:tcPr>
          <w:p>
            <w:pPr>
              <w:spacing w:after="0"/>
              <w:rPr>
                <w:sz w:val="24"/>
                <w:szCs w:val="24"/>
                <w:color w:val="auto"/>
              </w:rPr>
            </w:pPr>
          </w:p>
        </w:tc>
        <w:tc>
          <w:tcPr>
            <w:tcW w:w="7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Borders>
              <w:bottom w:val="single" w:sz="8" w:color="0000FF"/>
            </w:tcBorders>
            <w:vMerge w:val="continue"/>
          </w:tcPr>
          <w:p>
            <w:pPr>
              <w:spacing w:after="0"/>
              <w:rPr>
                <w:sz w:val="14"/>
                <w:szCs w:val="14"/>
                <w:color w:val="auto"/>
              </w:rPr>
            </w:pPr>
          </w:p>
        </w:tc>
        <w:tc>
          <w:tcPr>
            <w:tcW w:w="46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380" w:type="dxa"/>
            <w:vAlign w:val="bottom"/>
            <w:gridSpan w:val="3"/>
          </w:tcPr>
          <w:p>
            <w:pPr>
              <w:spacing w:after="0"/>
              <w:rPr>
                <w:sz w:val="18"/>
                <w:szCs w:val="18"/>
                <w:color w:val="auto"/>
              </w:rPr>
            </w:pPr>
          </w:p>
        </w:tc>
        <w:tc>
          <w:tcPr>
            <w:tcW w:w="3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0000FF"/>
              </w:rPr>
              <w:t>Business</w:t>
            </w:r>
          </w:p>
        </w:tc>
        <w:tc>
          <w:tcPr>
            <w:tcW w:w="7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240" w:type="dxa"/>
            <w:vAlign w:val="bottom"/>
          </w:tcPr>
          <w:p>
            <w:pPr>
              <w:spacing w:after="0"/>
              <w:rPr>
                <w:sz w:val="18"/>
                <w:szCs w:val="18"/>
                <w:color w:val="auto"/>
              </w:rPr>
            </w:pPr>
          </w:p>
        </w:tc>
        <w:tc>
          <w:tcPr>
            <w:tcW w:w="3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0000FF"/>
              </w:rPr>
              <w:t>Risk Factors</w:t>
            </w:r>
          </w:p>
        </w:tc>
        <w:tc>
          <w:tcPr>
            <w:tcW w:w="7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gridSpan w:val="2"/>
          </w:tcPr>
          <w:p>
            <w:pPr>
              <w:spacing w:after="0"/>
              <w:rPr>
                <w:sz w:val="18"/>
                <w:szCs w:val="18"/>
                <w:color w:val="auto"/>
              </w:rPr>
            </w:pPr>
          </w:p>
        </w:tc>
        <w:tc>
          <w:tcPr>
            <w:tcW w:w="3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0000FF"/>
              </w:rPr>
              <w:t>Properties</w:t>
            </w:r>
          </w:p>
        </w:tc>
        <w:tc>
          <w:tcPr>
            <w:tcW w:w="7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3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0000FF"/>
              </w:rPr>
              <w:t>Legal Proceedings</w:t>
            </w:r>
          </w:p>
        </w:tc>
        <w:tc>
          <w:tcPr>
            <w:tcW w:w="7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380" w:type="dxa"/>
            <w:vAlign w:val="bottom"/>
            <w:gridSpan w:val="3"/>
          </w:tcPr>
          <w:p>
            <w:pPr>
              <w:spacing w:after="0"/>
              <w:rPr>
                <w:sz w:val="18"/>
                <w:szCs w:val="18"/>
                <w:color w:val="auto"/>
              </w:rPr>
            </w:pPr>
          </w:p>
        </w:tc>
        <w:tc>
          <w:tcPr>
            <w:tcW w:w="3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0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380" w:type="dxa"/>
            <w:vAlign w:val="bottom"/>
            <w:gridSpan w:val="2"/>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380" w:type="dxa"/>
            <w:vAlign w:val="bottom"/>
            <w:gridSpan w:val="2"/>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&lt;Reserved&gt;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7A.</w:t>
            </w:r>
          </w:p>
        </w:tc>
        <w:tc>
          <w:tcPr>
            <w:tcW w:w="260" w:type="dxa"/>
            <w:vAlign w:val="bottom"/>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380" w:type="dxa"/>
            <w:vAlign w:val="bottom"/>
            <w:gridSpan w:val="2"/>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9A.</w:t>
            </w:r>
          </w:p>
        </w:tc>
        <w:tc>
          <w:tcPr>
            <w:tcW w:w="260" w:type="dxa"/>
            <w:vAlign w:val="bottom"/>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9B.</w:t>
            </w:r>
          </w:p>
        </w:tc>
        <w:tc>
          <w:tcPr>
            <w:tcW w:w="260" w:type="dxa"/>
            <w:vAlign w:val="bottom"/>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9C.</w:t>
            </w:r>
          </w:p>
        </w:tc>
        <w:tc>
          <w:tcPr>
            <w:tcW w:w="260" w:type="dxa"/>
            <w:vAlign w:val="bottom"/>
          </w:tcPr>
          <w:p>
            <w:pPr>
              <w:spacing w:after="0"/>
              <w:rPr>
                <w:sz w:val="18"/>
                <w:szCs w:val="18"/>
                <w:color w:val="auto"/>
              </w:rPr>
            </w:pPr>
          </w:p>
        </w:tc>
        <w:tc>
          <w:tcPr>
            <w:tcW w:w="1012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8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104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104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104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104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104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5240" w:type="dxa"/>
            <w:vAlign w:val="bottom"/>
            <w:gridSpan w:val="2"/>
          </w:tcPr>
          <w:p>
            <w:pPr>
              <w:spacing w:after="0"/>
              <w:rPr>
                <w:sz w:val="18"/>
                <w:szCs w:val="18"/>
                <w:color w:val="auto"/>
              </w:rPr>
            </w:pP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46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94</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46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0000FF"/>
              </w:rPr>
              <w:t>Form 10-K Summary</w:t>
            </w:r>
          </w:p>
        </w:tc>
        <w:tc>
          <w:tcPr>
            <w:tcW w:w="5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97</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All references to “Amkor,” “we,” “us,” “our” or the “Company” in this Annual Report on Form 10-K (this “Form 10-K”) are to Amkor Technology, Inc. and its subsidiaries. We refer to the Republic of Korea, which is also commonly known as South Korea, as “Korea.” Amounts preceded by ¥ are in Japanese yen and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are in Korean won. Amkor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Amkor Technology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Micro</w:t>
      </w:r>
      <w:r>
        <w:rPr>
          <w:rFonts w:ascii="Times New Roman" w:cs="Times New Roman" w:eastAsia="Times New Roman" w:hAnsi="Times New Roman"/>
          <w:sz w:val="18"/>
          <w:szCs w:val="18"/>
          <w:color w:val="auto"/>
        </w:rPr>
        <w:t>LeadFrame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and SWIFT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among others, are trademarks of Amkor Technology, Inc. All other trademarks appearing herein are held by their respective owners. Subsequent use of the above trademarks in this Form 10-K may occur without the respective superscript symbol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 order to facilitate the readability of this Form 10-K and are not a waiver of any rights that may be associated with the relevant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10-K contains forward-looking statements within the meaning of the federal securities laws, including, but not limited to, statements regarding</w:t>
      </w:r>
    </w:p>
    <w:p>
      <w:pPr>
        <w:spacing w:after="0" w:line="27" w:lineRule="exact"/>
        <w:rPr>
          <w:sz w:val="20"/>
          <w:szCs w:val="20"/>
          <w:color w:val="auto"/>
        </w:rPr>
      </w:pPr>
    </w:p>
    <w:p>
      <w:pPr>
        <w:jc w:val="both"/>
        <w:ind w:firstLine="8"/>
        <w:spacing w:after="0" w:line="250"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focus of our expected capital investments in 2023, (2) our ability to fund our operating activities and financial requirements for the next twelve months, (3) the effect of changes in revenue levels and capacity utilization on our gross margin, (4) the impact of the Covid-19 pandemic on our operations, financial results and supply chain, including as a result of the government-mandated lockdown of our Shanghai factory during the second quarter of 2022,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under construction in Vietnam and (22)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10-K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 Item 1A and other sections of this Form 10-K and from time to time in our other reports filed with or furnished to the Securities and Exchange Commission (“SEC”). You should carefully consider the trends, risks and uncertainties described in this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10-K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Amkor was a pioneer in the outsourcing of semiconductor packaging and test services, and over the years we have built a leading position by:</w:t>
      </w:r>
    </w:p>
    <w:p>
      <w:pPr>
        <w:spacing w:after="0" w:line="10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developing innovative packaging and test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expertise in high-volume manufacturing processes and developing a reputation for high quality and solid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long-standing relationships with our customers, which include many of the world’s leading semiconductor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customers, foundries, original equipment manufacturers (“OEMs”) and equipment and material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strategic end markets that offer solid growth potential;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geographically diverse operating base;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competitive cost structure through disciplined capital investment.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designed to meet application and chip-specific requirements, including: the required type of interconnect technology; size; thickness; and electrical, mechanical and thermal performance. We provide turnkey packaging and test services including semiconductor wafer bump, wafer probe, wafer back-grind, package design, packaging, system-level and final test and drop shipment services. Our customers use us for one or more of these services.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our services to integrated device manufacturers (“IDMs”), “fabless” semiconductor companies, OEMs and contract foundries. IDMs generally design, manufacture, package and test semiconductors in their own facilities. However, the availability of technologically advanced outsourced manufacturing services has encouraged IDMs to outsource a portion of their manufacturing. By offering a broad package portfolio, Amkor allows IDMs to outsource packaging and test services and focus their investments on core competencies such as silicon fabrication. Fabless semiconductor companies do not have factories. They focus exclusively on semiconductor design and outsource virtually every step of the manufacturing process, utilizing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devices are essential building blocks used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spacing w:after="0" w:line="122"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demand for mobile and connected devices, including the worldwide adoption of “smart” phones, tablets and other Internet-of-Things (“IoT”) devices that can access the internet and provide multimedia capabilities.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semiconductor content within electronic products to provide greater functionality and higher levels of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5G infrastructure and 5G enabled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proliferation of semiconductor devices into well-established end products such as automotive systems for automation and driver assist, electrification and infotainment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mobility and connectivity capabilities, driving demand for new broadband wired and wireless networking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Digitalization, driving expansion of data generation and storage.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heterogeneous integration (diverse dies positioned close to each other within the same package) to reduce cost, improve yields and deliver required performance in data center computing, artificial intelligence and similar end uses.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advanced system-in-package (“SiP”) modules (combining multiple semiconductor and other electronic components in a single package) to meet the demand for miniaturization and higher functionality at competitive cost.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digital format in our environment, from sensors for automobiles (e.g., pressure, radar, LiDAR and image recognition), mobile devices (e.g., 3D motion, temperature, acceleration and imaging), and IoT (e.g., in-home sensing from temperature to weather and wearables).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such as worldwide gross domestic product and consumer spending. With the exception of 2020, where the Covid-19 pandemic caused worldwide gross domestic product levels to decline during a period of strong growth in the semiconductor industry, there has generally been a strong correlation between worldwide gross domestic product levels, consumer spending and semiconductor industry cycles.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Outsourcing Trends in Semiconductor Manufacturing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Semiconductor companies outsource their packaging and test needs to service providers such as Amkor for the following reasons: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have developed expertise in advanced technologies.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increasing demands for miniaturization, greater functionality, lower power consumption and improved thermal and electrical performance are driving the continuous development of semiconductor packaging and test technologies that are more sophisticated, complex, capital intensive and customized. This trend has led many semiconductor companies and OEMs to view packaging and test as enabling technologies requiring the technological innovation expertise found in the leading outsourced assembly and test companies. At the same time, these companies are often looking to reduce their internal manufacturing and research and development costs for packaging and test solutions. As a result, many of these companies are increasingly relying on packaging and test service providers as key sources for new package designs and advanced interconnect technologies.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can facilitate a more efficient supply chain and help shorten time-to-market for new products.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believe that semiconductor companies, together with their customers, are seeking to shorten the time-to-market for new products and that an efficient supply chain is a critical factor in facilitating timely and successful product introductions. Packaging and test service providers have the resources and expertise to timely develop and implement new packaging technology in high volume. For this reason, semiconductor companies and OEMs are leveraging the capabilities of outsourced packaging and test service providers to bring new high quality products to market more quickly.</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High quality packaging and test service providers enable semiconductor manufacturers to focus their resources on semiconductor design and wafer fabrication.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semiconductor process technology migrates to larger wafers and smaller feature sizes, the cost of building a state-of-the-art wafer fabrication factory has risen significantly.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are increasing their reliance on outsourced providers of semiconductor manufacturing services, including high quality packaging and test solutions.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offer a cost-effective solution in a cyclical, capital intensive industry.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capital. As a result of this cyclicality and the large investments required, manufacturing facilities must operate at consistently high levels of utilization to be cost-effective. Shorter product life cycles, coupled with the need to update or replace packaging and test equipment to accommodate new package types, make it more difficult for IDMs to maintain cost-effective utilization of their packaging and test assets throughout semiconductor industry cycles. Packaging and test service providers, on the other hand, can typically use their assets to support a broad range of customers and multiple end markets, potentially generating more efficient use of their production assets and a more cost-effective solution.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COMPETITIVE STRENGTHS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 is a leader in advanced packaging technology in the outsourced assembly and test market. Growth in the semiconductor industry is being driven primarily by advanced packaging within four key megatrends of 5G, automotive, IoT and high-performance computing (“HPC”). We believe Amkor is well positioned in each of these end markets.</w:t>
      </w:r>
    </w:p>
    <w:p>
      <w:pPr>
        <w:spacing w:after="0" w:line="115" w:lineRule="exact"/>
        <w:rPr>
          <w:sz w:val="20"/>
          <w:szCs w:val="20"/>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our communications end market, we have a strong position across multiple device functionalities within premium and high tier smartphones. We are collaborating with industry leaders as smartphones transition to 5G and drive semiconductor growth through the adoption of new wireless standards, integration of a broad range of applications, enhanced features, and higher performance requirements to support increased data processing. The trend to greater functionality drives miniaturization and cost reduction enabled by advanced packaging.</w:t>
      </w:r>
    </w:p>
    <w:p>
      <w:pPr>
        <w:spacing w:after="0" w:line="12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semiconductor content in automobiles is driving increased demand for advanced packaging to enable the proliferation of safety features such as advanced driver assistance systems (“ADAS”) and radar and digital cockpit features such as infotainment displays and telematics. Increasing battery voltage, higher voltage power converters and automotive inverter components also require innovative power packaging solutions.</w:t>
      </w:r>
    </w:p>
    <w:p>
      <w:pPr>
        <w:spacing w:after="0" w:line="136"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IoT wearables within our consumer end market are evolving in multiple applications, such as watches, health trackers, hearables, biometrics and smart glasses. Integration of multiple functions in small form factors, processors, sensors and connectivity devices depends on innovation in advanced packaging.</w:t>
      </w:r>
    </w:p>
    <w:p>
      <w:pPr>
        <w:spacing w:after="0" w:line="136"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data traffic requiring higher networking speed and storage, as well as computing power increases in HPC, data centers, cloud computing, AI, PCs and laptops, are driving demand for more semiconductors and advanced packaging in the computing end market.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financial objective is profitable sales growth. We believe that we will continue to achieve that goal and create long-term shareholder value by building on our strength in advanced packaging and executing on the following strategies.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Leverage Our Leadership in Services for Advanced Technologies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which we believe provide substantial value to our customers.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approximately 700 employees, as of December 31, 2022, engaged in research and development for new semiconductor packaging and test technologies, we are a technology leader in areas such as fine pitch bumping, advanced flip chip, wafer-level processing, advanced SiPs and power modules.</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work closely with our customers to develop cost-effective leading-edge packages for the next generation of devices. These include integrated technologies such as advanced SiP, wafer-level fan-out (“WLFO”), Silicon Wafer Integrated Fan-out Technology (“SWIFT”), High Density Fan-Out (“HDFO”) and redistribution layer (“RDL”) solutions which enable very thin, very small products that combine application processors, memory, baseband and other peripheral integrated circuits (“ICs”). Our advanced packages may utilize Through Silicon Via (“TSV”) interconnects and silicon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interposers, which enable the integration of high-performance chips such as high bandwidth memory and graphics processors into a single package. In addition, we co-develop with customers high power modules involving gallium nitride (“GaN”) and silicon carbide (“SiC”) based devices. Our approach is to work with lead customers to develop processes that will enable volume manufacturing with high yields and reliability.</w:t>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demand for advanced packaging services will continue to grow as our customers and leading electronics OEMs strive for smaller device geometries, higher levels of integration and performance and lower power consumption. We intend to continue to leverage our investment in advanced technology to meet the demand for these services in high growth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Optimize Utilization of Existing Assets and Broaden Our Customer Base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key to our success is to optimize the utilization of our existing assets. The transition by leading edge customers to newer packaging and test equipment platforms typically frees up capacity in existing, previously installed equipment. As part of our strategy, we are focused on developing a second wave of customers to utilize these assets more effectively over a longer period of time. We are building and utilizing manufacturing lines which support multiple customers and increase factory utilization through more sophisticated planning processes and more intensive efficiency improvement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Selectively Grow Our Scale and Scope through Strategic Investments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identify attractive opportunities to strengthen our leadership position and market share through expansion of our operations, joint ventures, acquisitions and other strategic investments. For example, we are making preparations to deliver advanced SiP modules and other packaging solutions from a new factory in Bac Ninh, Vietnam. We believe that the Bac Ninh site, which is expected to begin production in the fourth quarter of 2023, will provide customers with a cost-competitive high-volume manufacturing location that offers supply chain diversification. In addition, our broad geographic footprint, including our manufacturing presence in Portugal and our headquarters in the United States, are key differentiators for us and position us to participate in initiatives to regionalize supply chains. We believe that selective growth through these strategic actions can further strengthen customer relationships, help to maintain and enhance our technological leadership, diversify our revenue streams and improve our profits.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outsourced semiconductor packaging and test market is very competitive. We also compete with the internal semiconductor packaging and test capabilities of many of our customers and foundries. We believe we are well-positioned in the outsourced packaging and test services market. The following competitive strengths support our strategy to build upon our industry position and remain a preferred provider of semiconductor packaging and test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Packaging Technology Leadership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leader in developing and deploying advanced semiconductor packaging and test solutions. We have designed and developed several state-of-the-art package formats and technologies, including our Double-Sided, Molded Ball Grid Array (“DSMBGA”) SiP platform and multi-chip modules that incorporate silicon interposers between the module chips and substrate. In addition, we believe that as semiconductor technology continues to achieve smaller device geometries with higher levels of integration, speed and performance, packages will increasingly require wafer-level Chip Scale Packaging (“CSP”), WLFO, SWIFT and Flip Chip interconnect solutions, advanced SiP products and medium and higher power density packages and modules.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developing the key processes and packages, along with test solutions, required for our customers to deliver advanced integrated and modular solutions to their markets. We are also a developer of environmentally friendly IC packaging, which involves reducing the use of lead and other harmful materials and efficient use of energy and water.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 Offering of Semiconductor Package Design, Packaging and Test Services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Creating successful interconnect solutions for advanced semiconductor devices often poses unique thermal, electrical and mechanical design challenges, and we employ a large number of engineers to solve these challenges. This wide variety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packaging offerings is necessary to meet the diverse needs of our customers for the optimal combination of performance, size and cost. Utilizing Amkor for its innovative packaging, test and design services enables our customers to focus their resources on semiconductor design and wafer fabrication.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an extensive line of advanced probe and final test services for analog, digital, logic, mixed signal, memory, sensors and radio frequency-semiconductor devices. We believe that the breadth of our design, packaging and test services is important to customers seeking to limit the number of their suppliers.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Geographically Diversified Manufacturing Base</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broad and geographically diverse manufacturing footprint strategically located in seven of the world’s important electronics manufacturing regions. We believe that our scale and scope allow us to provide a flexible supply chain and cost-effective solutions to our customers by:</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located in key regions where customers are actively seeking to develop localized supply chains;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production of customer devices at multiple manufacturing sites with geographical diversity to mitigate the risks of supply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capabilities and solutions for customer-specific requirements;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capacity to absorb large orders and accommodate quick turn-around times;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pricing and supply agreements on materials and equipment by using our purchasing power and leading industry position.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Long-Standing Relationships and Collaboration with Prominent Semiconductor Companies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include most of the world’s largest semiconductor companies, and over the last five decades we have developed long-standing relationships with many of these companies. We believe that our production excellence, including high quality, reliability and predictability, has been a key factor in our success in attracting and retaining customers. We work with our customers and our suppliers to develop proprietary process technologies to enhance our existing capabilities, reduce time-to-market, improve quality and lower costs.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focus on research and product development will enable us to enter new markets early, capture market share and promote the adoption of our new package formats as industry standards. We collaborate with customers and leading OEMs to develop comprehensive packaging solutions that make it easier for next-generation semiconductors to be designed into next-generation end products. By collaborating with leading semiconductor companies, foundries and OEM electronics companies, we are able to focus resources on developing new packages that will meet the requirements of new products. The traditional delineation between front-end semiconductor manufacturing and packaging is starting to converge. Foundries, and in some cases IDMs, are integrating some packaging activities closer to front-end wafer processes. We work closely with foundry partners to complement these offerings by offering similar wafer-based technologies as well as downstream processing.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PACKAGING AND TEST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the semiconductor manufacturing process consists of IC design, wafer fabrication, wafer probe, packaging and final test. The packaging and test services we provide occur subsequent to wafer fabrication, and the wafers that we receive from our customers are generally consigned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Products and Mainstream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broad range of advanced and mainstream packaging and test services to our customers. We refer to our flip chip, wafer-level processing and related test services as “Advanced Products” and to our wirebond packaging, power device packaging and related test services as “Mainstream Products.” The following table sets forth, for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 net sales for Advanced Products and Mainstream Products and the percentage of total net sales for each service offering.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2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190"/>
        </w:trPr>
        <w:tc>
          <w:tcPr>
            <w:tcW w:w="2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7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 except percentage of net sales)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Mainstream Products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48"/>
        </w:trPr>
        <w:tc>
          <w:tcPr>
            <w:tcW w:w="2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Products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Advanced Products include flip chip chip scale packages (“FC CSP”), wafer-level packages and flip chip ball grid array (“FCBGA”) packages. These package families use flip chip interconnect technology so that the die can be connected to a substrate package carrier or, in the case of wafer-level chip scale packages, directly to a printed circuit board.</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FC CSP Products</w:t>
      </w:r>
      <w:r>
        <w:rPr>
          <w:rFonts w:ascii="Times New Roman" w:cs="Times New Roman" w:eastAsia="Times New Roman" w:hAnsi="Times New Roman"/>
          <w:sz w:val="18"/>
          <w:szCs w:val="18"/>
          <w:color w:val="auto"/>
        </w:rPr>
        <w:t>: FC CSP packages are small form factor packages where the substrate size is not much larger than the die itself. FC CSP can be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die or multi die format. The size advantage provided by CSP technologies has made FC CSP an attractive choice for a wide variety of applications that require very small form factors such as smartphones, tablets and other mobile consumer electronic devices.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Flip chip stacked chip scale packages (“FC SCSP”) stack a second die on top of the original flip-chip die. The top die is typically a memory device, and wirebond interconnects are used to attach the top die to the substrate. FC SCSP is frequently used to stack memory on top of digital baseband and applications processors for use in mobile devices.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drive thinner package solutions for our Package on Package (“PoP”) technology through the development of ultra-thin substrates and enhancing our pre-stacking and thin die handling capabilities.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developed fine pitch copper pillar flip chip interconnect technology, which creates interconnections at finer pitches using a plating process to reduce the number of substrate layers to facilitate very thin packages. This innovative solution is also an enabling technology for package stacking with TSVs.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FCBGA Products</w:t>
      </w:r>
      <w:r>
        <w:rPr>
          <w:rFonts w:ascii="Times New Roman" w:cs="Times New Roman" w:eastAsia="Times New Roman" w:hAnsi="Times New Roman"/>
          <w:sz w:val="18"/>
          <w:szCs w:val="18"/>
          <w:color w:val="auto"/>
        </w:rPr>
        <w:t>: FCBGA packages are large form factor substrate-based packages which are used where processing power and speed are a higher 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 small form factor. Our FCBGA packages are assembled using state-of-the-art substrates. Utilizing multiple high density routing layers, laser drilled vias, and ultra-fine line and space metallization, FCBGA substrates have the highest routing density available. The variety of FCBGA package options, from large single die to multi-chip packages with memory, allows package selection to be tailored to the specific thermal needs of the end product. We offer FCBGA packaging in a variety of product formats to fit a wide range of end application requirements, including networking, storage, computing, automotive and consumer applications.</w:t>
      </w:r>
    </w:p>
    <w:p>
      <w:pPr>
        <w:spacing w:after="0" w:line="1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Memory Products: </w:t>
      </w:r>
      <w:r>
        <w:rPr>
          <w:rFonts w:ascii="Times New Roman" w:cs="Times New Roman" w:eastAsia="Times New Roman" w:hAnsi="Times New Roman"/>
          <w:sz w:val="18"/>
          <w:szCs w:val="18"/>
          <w:color w:val="auto"/>
        </w:rPr>
        <w:t>Memory packages consist of either standalone packaging and testing or a combination of NAND Flash, DRAM, or a memory controller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 using a variety of packaging technologies, including FC, SCSP, SiP, PoP and other state-of-the-art packaging technologies. These products are used as system memory or platform data storage in all of our end markets.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Wafer-level Package Products</w:t>
      </w:r>
      <w:r>
        <w:rPr>
          <w:rFonts w:ascii="Times New Roman" w:cs="Times New Roman" w:eastAsia="Times New Roman" w:hAnsi="Times New Roman"/>
          <w:sz w:val="18"/>
          <w:szCs w:val="18"/>
          <w:color w:val="auto"/>
        </w:rPr>
        <w:t>: We offer three types of wafer-level packages: wafer-level CSP; WLFO; and SWIFT. Wafer-level CSP and WLFO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complementary technologies. Customers can choose between the two package types as their die sizes shrink or grow.</w:t>
      </w:r>
    </w:p>
    <w:p>
      <w:pPr>
        <w:spacing w:after="0" w:line="106"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Applications for wafer-level CSP include power management, transceivers, sensors, wireless charging, codecs, and specialty silicon for new or unique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WLFO packages (also known as low-density fan-out packages) are utilized for ICs where the die surface area is too small to accommodate all of the required bond pads. The fan-out package enlarges the bondable surface area by building a border around the die using low-cost molding compound. These packages can include multiple die. Applications for WLFO packages include power management, transceivers, radar and specialty silicon.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also known as high-density fan-out, can either replace the laminate substrate with a thinner structure or reduce the complexity of the substrate by housing the dense interconnects in the SWIFT structure, allowing for a less expensive substrate that provides a high level of performance with a balanced cost structure. SWIFT solutions enable high performance in a compact form factor that combines tiled processors, memory, I/O die and other peripheral ICs.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Mainstream Products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Mainstream Products include leadframe packages, substrate-based wirebond packages and micro-electro-mechanical systems (“MEMS”) packages.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package families use wirebond interconnect technology to connect a die to a leadframe or substrate package carrier.</w:t>
      </w:r>
    </w:p>
    <w:p>
      <w:pPr>
        <w:spacing w:after="0" w:line="15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Leadframe Packages: </w:t>
      </w:r>
      <w:r>
        <w:rPr>
          <w:rFonts w:ascii="Times New Roman" w:cs="Times New Roman" w:eastAsia="Times New Roman" w:hAnsi="Times New Roman"/>
          <w:sz w:val="18"/>
          <w:szCs w:val="18"/>
          <w:color w:val="auto"/>
        </w:rPr>
        <w:t>Leadframe packages use wirebond or flip chip technology to connect a die to a leadframe package carrier. Leadframe packages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many electronic devices and remain the most practical and cost-effective solution for many low to medium pin count analog and mixed signal applications.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Traditional leadframe packages support a wide variety of device types and applications. Two of our most popular traditional leadframe package types are small outline integrated circuit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Through a process of continuous engineering and customization, we have designed several leadframe package types that are thinner and smaller than traditional leadframe packages and can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 sizes and demand for miniaturization of portable electronic products. One of our more successful leadframe package offerings is the </w:t>
      </w:r>
      <w:r>
        <w:rPr>
          <w:rFonts w:ascii="Times New Roman" w:cs="Times New Roman" w:eastAsia="Times New Roman" w:hAnsi="Times New Roman"/>
          <w:sz w:val="18"/>
          <w:szCs w:val="18"/>
          <w:i w:val="1"/>
          <w:iCs w:val="1"/>
          <w:color w:val="auto"/>
        </w:rPr>
        <w:t>Micro</w:t>
      </w:r>
      <w:r>
        <w:rPr>
          <w:rFonts w:ascii="Times New Roman" w:cs="Times New Roman" w:eastAsia="Times New Roman" w:hAnsi="Times New Roman"/>
          <w:sz w:val="18"/>
          <w:szCs w:val="18"/>
          <w:color w:val="auto"/>
        </w:rPr>
        <w:t>LeadFrame family of quad flat no lead packages. These packages offer cost effective, miniaturized solutions for multiple analog power and signal chain applications.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Power discrete devices use a leadframe as the package carrier and primarily use wirebond interconnect technology. However, power applications that require improved thermal and electrical performance will use packaging with copper clip interconnect technology that creates multi die power modules.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Substrate-based Wirebond Packages</w:t>
      </w:r>
      <w:r>
        <w:rPr>
          <w:rFonts w:ascii="Times New Roman" w:cs="Times New Roman" w:eastAsia="Times New Roman" w:hAnsi="Times New Roman"/>
          <w:sz w:val="18"/>
          <w:szCs w:val="18"/>
          <w:color w:val="auto"/>
        </w:rPr>
        <w:t>: Substrate-based wirebond packages use wirebond technology to connect a die to a substrate. Some of our packages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category include stacked CSP, wirebond ball grid array packages and plastic ball grid array (“PBGA”) packages.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and mixed signal applications.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Wirebond ball grid array packages offer a broad selection of ball array pitches, ball counts and body sizes, single and multi-die layouts, stacked die and passive component integration together with thermal management solutions. They are applicable for a wide range of semiconductors requiring a smaller package size than conventional PBGAs or leadframe packages.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PBGA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Micro-Electro-Mechanical Systems Packages</w:t>
      </w:r>
      <w:r>
        <w:rPr>
          <w:rFonts w:ascii="Times New Roman" w:cs="Times New Roman" w:eastAsia="Times New Roman" w:hAnsi="Times New Roman"/>
          <w:sz w:val="18"/>
          <w:szCs w:val="18"/>
          <w:color w:val="auto"/>
        </w:rPr>
        <w:t>: MEMS are miniaturized mechanical and electro-mechanical devices that can sense and provide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System-in-Package Modules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Advanced SiP modules combine multiple semiconductor and other electronic components with different functionalities into a single package. These modules use wirebond, flip chip or wafer-level interconnect technologies. Components can include ICs, passive devices (inductors, capacitors, resistors, filters and diplexers), antennas and mechanical parts.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increasing demand for miniaturization and higher functionality at competitive cost is driving the adoption of advanced SiP in new products. Advanced SiP modules are used for many applications such as radio frequency (“RF”) and front-end modules, basebands, connectivity, fingerprint sensors, display and touch screen drivers, sensors and MEMS, NAND memory and solid state drives. Advanced SiP modules are found in many products including smartphones and tablets, automobiles, IoT wearables, high-performance gaming systems, computers and network systems.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2022, 2021 and 2020, we had net sales of approximately $2,930 million, $2,280 million and $1,885 million, respectively, from our advanced SiP modules, which are mostly included in Advanced Products, depending upon the interconnect technology used in the module.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Test Services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Test Services complement our wafer and packaging services across our Advanced and Mainstream Products. Our test services offer customers the cycle time and cost advantages of co-located turn-key services. Our test services are used as both an interim step or as the final testing step to ensure screening and rejection of defects, performance grading and overall outgoing quality and reliability. Interim testing eliminates the manufacturing costs of assembling the defective chips. Below is a description of our test services:</w:t>
      </w:r>
    </w:p>
    <w:p>
      <w:pPr>
        <w:spacing w:after="0" w:line="1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Wafer Level Test: </w:t>
      </w:r>
      <w:r>
        <w:rPr>
          <w:rFonts w:ascii="Times New Roman" w:cs="Times New Roman" w:eastAsia="Times New Roman" w:hAnsi="Times New Roman"/>
          <w:sz w:val="18"/>
          <w:szCs w:val="18"/>
          <w:color w:val="auto"/>
        </w:rPr>
        <w:t>Wafer level test is a manufacturing step performed while a wafer is still in its full form and before being singulated for further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Package Level Test: </w:t>
      </w:r>
      <w:r>
        <w:rPr>
          <w:rFonts w:ascii="Times New Roman" w:cs="Times New Roman" w:eastAsia="Times New Roman" w:hAnsi="Times New Roman"/>
          <w:sz w:val="18"/>
          <w:szCs w:val="18"/>
          <w:color w:val="auto"/>
        </w:rPr>
        <w:t>Package level test is performed on a product or products that have been assembled in a package.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Burn-In Test: </w:t>
      </w:r>
      <w:r>
        <w:rPr>
          <w:rFonts w:ascii="Times New Roman" w:cs="Times New Roman" w:eastAsia="Times New Roman" w:hAnsi="Times New Roman"/>
          <w:sz w:val="18"/>
          <w:szCs w:val="18"/>
          <w:color w:val="auto"/>
        </w:rPr>
        <w:t>Burn-in test is a process in which components of a system are exercised, monitored and measured in extreme operational conditions such as</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 temperature, voltage and frequency over time. The purpose of the environmental and operational stress conditions of burn-in testing is to accelerate and screen early life failures and estimate and monitor long-term degradation and ultimate lifetime.</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System Level Test: </w:t>
      </w:r>
      <w:r>
        <w:rPr>
          <w:rFonts w:ascii="Times New Roman" w:cs="Times New Roman" w:eastAsia="Times New Roman" w:hAnsi="Times New Roman"/>
          <w:sz w:val="18"/>
          <w:szCs w:val="18"/>
          <w:color w:val="auto"/>
        </w:rPr>
        <w:t>System level test identifies defective SiP products that may not otherwise be screened by traditional wafer level, package level or burn-in testing. As advanced packaging proliferates and the integration of more individual components into a SiP grows, system level testing becomes more important.</w:t>
      </w:r>
    </w:p>
    <w:p>
      <w:pPr>
        <w:spacing w:after="0" w:line="16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i w:val="1"/>
          <w:iCs w:val="1"/>
          <w:color w:val="auto"/>
        </w:rPr>
        <w:t xml:space="preserve">Test Development Services: </w:t>
      </w:r>
      <w:r>
        <w:rPr>
          <w:rFonts w:ascii="Times New Roman" w:cs="Times New Roman" w:eastAsia="Times New Roman" w:hAnsi="Times New Roman"/>
          <w:sz w:val="18"/>
          <w:szCs w:val="18"/>
          <w:color w:val="auto"/>
        </w:rPr>
        <w:t>Prior to mass production, an integrated manufacturing ready test solution must be developed and deployed. Amkor’s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offer both co-development and full development of complete test software and hardware solutions to our customers. These services also enable early engagement with our customers in the product design phases for maximum compatibility with manufacturing. Our test development teams are experienced in a full suite of test engineering disciplines for Memory, Power, RF, Mixed Signal, Analog and digital test solution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end markets that use our products and sets forth, for the periods indicated, the percentage of net sales in each end market: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2"/>
        </w:trPr>
        <w:tc>
          <w:tcPr>
            <w:tcW w:w="7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 xml:space="preserve">End Market Distribution Data </w:t>
            </w:r>
            <w:r>
              <w:rPr>
                <w:rFonts w:ascii="Times New Roman" w:cs="Times New Roman" w:eastAsia="Times New Roman" w:hAnsi="Times New Roman"/>
                <w:sz w:val="16"/>
                <w:szCs w:val="16"/>
                <w:color w:val="auto"/>
              </w:rPr>
              <w:t>(an approximation including representative devices and applications based on a sampling</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our largest customers):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(smartphones, tablets)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 industrial and other (ADAS, electrification, infotainment, safety)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(AR &amp; gaming, connected home, home electronics, wearables)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Computing (data center, infrastructure, PC/laptop, storage)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7"/>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sales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3"/>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technology development is one of the keys to success in the semiconductor packaging and test industry. Our research efforts focus on developing new packaging solutions and test services, as well as improving the efficiency and capabilities of our existing production processes. By concentrating our research and development on our customers’ needs for innovative packages, increased performance, higher density, smaller size and lower cost, we gain opportunities to enter markets early, successfully compete for new products and promote our new package offerings as industry leading technology.</w:t>
      </w:r>
    </w:p>
    <w:p>
      <w:pPr>
        <w:spacing w:after="0" w:line="1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One of our priorities is developing highly integrated SiP modules, such as DSMBGA packages, to reduce material and processing costs and minimize form factor for wearables and mobile devices. Another important focus area is the development of wafer-level and panel-level packages for chips in 2D and 3D system implementations. These wafer-level chip-scale packages and WLFO packages are increasingly the preferred package type for many applications in IoT and mobile devices, including processors, power management integrated circuits (“PMICs”), display drivers and antenna package products. Our development of Panel Level Fan Out (“PLFO”) technology will permit higher economies of scale for fan-out package devices manufactured on a panel versus wafer basis. We are also developing new applications for the automotive market using existing and new package technologies as higher performance compute, energy efficiency, power distribution and sensor content are used to support new automotive features including ADAS, infotainment, optical sensors and electric vehicles. In addition, we are developing high power management modules involving SiC-based devices.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Another focus for development is integrated multi-die solutions, including multichip modules and high-density WLFO solutions, which enable package level integration of different types and levels of silicon technologies for high performance computing, networking and data center applications. This is accomplished by combining processors and other chiplets into one packaged module. Through die partitioning and heterogeneous integration, these modules provide higher functionality at lower total product cost.</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employees are based in Korea, the United States, Portugal and other locations in Asia. At December 31, 2022, we had approximately 700 employees engaged in research and development activities. In 2022, 2021 and 2020, we incurred $149.4 million, $166.0 million and $140.7 million, respectively, of research and development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offices are located throughout Asia, Europe and North America. Our support personnel manage and promote our packaging and test services and provide key customer and technical support. To provide comprehensive sales and customer service, we typically assign our customers a direct support team consisting of an account manager, technical program manager, test program manager and both field and factory customer support representatives. We also support our largest multinational customers from multiple office locations to ensure that we are aligned with their global operational and business requirements.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have generally been higher in the second half of the year than in the first half due to consumer buying patterns in the U.S.,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product mix or overall demand in any of our end markets can impact our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include many of the largest semiconductor companies in the world. Our ten largest customers accounted for 65% of our net sales in 2022. Direct sales to Apple Inc. and Qualcomm Technologies, Inc. accounted for 20.6% and 10.1% of our net sales, respectively, for the year ended December 31,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materials are used primarily for packaging activities. Our packaging operations depend upon obtaining adequate supplies of materials on a timely basis. The principal materials used in our packaging process are laminate substrates, ICs, capacitors, leadframes and gold wire. The silicon wafer is generally consigned from the customer. We generally do not take ownership of the customer consigned wafer, and title and risk of loss remains with the customer for these materials. Test materials constitute a very small portion of our total test cost. Generally, we purchase materials based on Amkor’s commitments to customer forecasts, and our customers are generally responsible for any unused materials we purchase based on such commitments.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 the materials required for packaging services from various suppliers and source most of our materials, including critical materials such as leadframes, laminate substrates and gold wire, from a limited group of suppliers. We work closely with our primary material suppliers to ensure consistent quality, availability and timely delivery. We also negotiate worldwide pricing agreements with our major suppliers to take advantage of the scale of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primary types of equipment used in providing our packaging services are wirebonders, die bonders, chip shooters, and die attach. In addition, we maintain a variety of other packaging equipment, including mold, singulation, ball attach and wafer backgrind, along with numerous other types of manufacturing equipment. A substantial portion of our packaging equipment base can generally be used and adapted to support the manufacture of many of our packages, with equipment used in traditional wirebond packaging being easier to redeploy than the equipment used in advanced packaging.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purchase wafer bumping equipment to facilitate our flip chip and wafer level packaging services. Wafer bumping equipment includes sputter and spin coaters, electroplating equipment, reflow ovens and other types of equipment. This equipment tends to have longer lead times for delivery and installation than other packaging equipment and is sold in relatively larger increments of capacity.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equipment used in the testing process includes testers, handlers and probers. Handlers are used to transfer individual or small groups of packaged ICs to a tester. Test equipment is generally a more capital-intensive activity than packaging, and test equipment tends to have longer delivery lead times than most types of packaging equipment. We focus our capital expenditures on standardized tester platforms to maximize test equipment utilization where possible. For tester platforms that are less standardized, we generally lease test equipment for the expected life cycle of the project. In some cases, our customers will consign test equipment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with global operations, we are subject to various federal, state, local, and foreign laws, and our products and services are governed by a number of rules and regulations. These regulations, which differ among jurisdictions, include financial and other external reporting disclosure rules, accounting standards, and environmental, corporate governance, intellectual property, tax, trade, antitrust, employment, immigration and travel, privacy and anti-corruption laws. Costs and accruals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compliance with government regulations.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chemicals and materials in the semiconductor packaging process that generate byproducts such as wastewater, solid waste and flue gas. For example, water used for rinsing or cooling wafers being sawed or used in the etching or solder deposition process produces wastewater. Scrap from metal lead-frame or substrate processing or excessive molding resin produces solid waste. Emissions from solvents used for coating produce flue gases. In addition to byproducts, semiconductor packages have historically contained lead, a naturally occurring element that can be toxic. The use of lead in our packages has decreased over time due to the use of lead-free alternatives. The use and storage of chemicals and materials are subject to various laws and regulations governing waste disposal, water discharge, emissions into the atmosphere and employee health and safety. We are engaged in continuing efforts to comply with these environmental laws and regulations, including the establishment of environmental management systems, safety training for employees and installation of pollution control equipment at our factories.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be subject to changes to existing environmental regulations or new green initiatives required by our customers, investors, governments or other stakeholders. We do not believe that capital expenditures or other costs attributable to compliance with environmental laws and regulations or green initiatives will have a material adverse effect on our business, liquidity, results of operations, financial condition or cash flows.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committed to responsible environmental practices that go beyond legal requirements in conducting our business. These environmental practices include:</w:t>
      </w:r>
    </w:p>
    <w:p>
      <w:pPr>
        <w:spacing w:after="0" w:line="108" w:lineRule="exact"/>
        <w:rPr>
          <w:sz w:val="20"/>
          <w:szCs w:val="20"/>
          <w:color w:val="auto"/>
        </w:rPr>
      </w:pPr>
    </w:p>
    <w:p>
      <w:pPr>
        <w:ind w:left="340" w:hanging="332"/>
        <w:spacing w:after="0" w:line="282"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our factories worldwide to International Organization for Standards (“ISO”) framework 14001, widely recognized as the standard for effective environmental management systems.</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independent verification of greenhouse gases (“GHGs”) generated by our factories worldwide. Once collected, our GHG data is submitted to, and disclosed publicly by, CDP, formerly known as the Carbon Disclosure Project. CDP is a leading organization that assesses the impact of climate change and promotes a sustainable economy.</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in the Responsible Business Alliance (“RBA”), an international industry group dedicated to corporate social responsibility. RBA members agree to follow a uniform Code of Conduct that includes standards of environmental responsibility, and our factories have been subject to independent audits to assess compliance with these standards.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and process optimization activities to reduce GHGs include installation of solar photovoltaic panels, replacement of, or improvements to, chiller unit systems and use of light-emitting diode (“LED”) technology.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outsourced semiconductor packaging and test market is very competitive. We face substantial competition from established packaging and test service providers primarily located in Asia, including companies with significant manufacturing capacity, financial resources, research and development operations, marketing and other capabilities. These companies include ASE Technology Holding Co., Ltd. and JCET Group Co., Ltd. In addition, we compete with electronic manufacturing service providers or contract electronics manufacturers, including Universal Scientific Industrial (Shanghai) Co., Ltd., that also provide advanced integrated device solutions. Such companies also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developed relationships with most of the world’s largest semiconductor companies, including current or potential customers of Amkor.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compete with the internal semiconductor packaging and test capabilities of many of our customers. Our IDM customers continually evaluate the attractiveness of outsourced services against their own in-house packaging and test services and at times may decide to shift some or all of their outsourced packaging and test services to internally sourced capacity. We also compete with contract foundries, such as Taiwan Semiconductor Manufacturing Company Limited and Samsung Electronics Co., Ltd., which offer full turnkey services from silicon wafer fabrication through packaging and final test. In addition, we compete with companies that offer test-only services.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elements of competition in the outsourced semiconductor packaging and test services market include price, available capacity, flexibility, quality, customer service and support, new product introduction experience, cycle time, reputation and reliability, customer satisfaction, technological expertise and innovation, breadth of packaging and test services offered, including turnkey services, and the ability to invest in capacity, geographic location and scale of manufacturing. We believe that we compete favorably with respect to each of these elements.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U.S. and other countries, and their durations vary depending on the jurisdiction in which each patent is filed. Although our patents are an important element of our intellectual property strategy, we are not materially dependent on any one patent or any one technology. We expect to continue to file patent applications when appropriate to protect our proprietary technologies, but we cannot provide assurances that we will receive patents from pending or future applications. In addition, any patents we obtain could be challenged, invalidated or circumvented and may not provide meaningful protection or other commercial advantage to us. Nonetheless, our patents afford an important means of protection for our technologies. Further, to distinguish our products from our competitors’ products, we have obtained certain trademarks and service marks and may promote our particular brands through advertising and other marketing techniques.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protect and maintain the confidentiality of certain information about our processes, products and strategies which we believe provides us with a competitive advantage. We have ongoing programs designed to maintain the confidentiality of such information. As part of these efforts, all employees who have access to Amkor’s information systems are required to participate in cybersecurity training within the first 15 days of employment, after which recurring mandatory training is required on an annual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Amkor employed 31,300 regular full-time employees, of whom approximately 97%, 2% and 1% resided in the Asia-Pacific region, Europe and North America, respectively. Our global workforce spans 12 countries, reflecting various cultures, backgrounds, ages, genders and ethnicities. Of our global employee base, 93% are employed in manufacturing roles. Our employees in France, Germany, the Philippines, Singapore, Taiwan, Vietnam and the U.S. are not represented by any union. Certain employees at our factories in China, Japan, Korea, Malaysia and Portugal are members of a union, and we operate subject to collective bargaining agreements that we have entered into with these unions. We believe that our relations with our employees are good, and we have not experienced a work stoppage in any of our factories.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Amkor believes that its future success is highly dependent upon our continued ability to attract, retain and motivate qualified employees. As part of our effort to attract and motivate employees, Amkor is committed to providing competitive and comprehensive benefits that are designed to enable our employees and their families to live healthier and more secure lives. Additionally, Amkor has implemented various retention programs to incentivize and retain high-performing employees. We regularly evaluate such retention programs and our compensation practices generally to ensure they remain competitive and are aligned with local market practices. We look to promote our management-level employees from within Amkor, and we believe that we have been successful in this effort. Factory locations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maintain training and development programs that enable the continued learning and growth of our employees, and senior management regularly meets to share and implement best practices among our various facilities.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 also uses human capital initiatives to support our broad geographic footprint. For career development and advancement, we may provide employees with the opportunity to move between factories, often in support of new factories or the introduction of new packaging offerings. We believe that these initiatives are efficient for training new local employees and allow existing employees to continue to develop in their careers.</w:t>
      </w:r>
    </w:p>
    <w:p>
      <w:pPr>
        <w:spacing w:after="0" w:line="122" w:lineRule="exact"/>
        <w:rPr>
          <w:sz w:val="20"/>
          <w:szCs w:val="20"/>
          <w:color w:val="auto"/>
        </w:rPr>
      </w:pPr>
    </w:p>
    <w:p>
      <w:pPr>
        <w:ind w:right="160"/>
        <w:spacing w:after="0" w:line="438" w:lineRule="auto"/>
        <w:rPr>
          <w:sz w:val="20"/>
          <w:szCs w:val="20"/>
          <w:color w:val="auto"/>
        </w:rPr>
      </w:pPr>
      <w:r>
        <w:rPr>
          <w:rFonts w:ascii="Times New Roman" w:cs="Times New Roman" w:eastAsia="Times New Roman" w:hAnsi="Times New Roman"/>
          <w:sz w:val="18"/>
          <w:szCs w:val="18"/>
          <w:color w:val="auto"/>
        </w:rPr>
        <w:t xml:space="preserve">We believe that our efforts to motivate, retain and support the growth of qualified employees is reflected in the long average tenure of our key employees. </w:t>
      </w:r>
      <w:r>
        <w:rPr>
          <w:rFonts w:ascii="Times New Roman" w:cs="Times New Roman" w:eastAsia="Times New Roman" w:hAnsi="Times New Roman"/>
          <w:sz w:val="18"/>
          <w:szCs w:val="18"/>
          <w:b w:val="1"/>
          <w:bCs w:val="1"/>
          <w:i w:val="1"/>
          <w:iCs w:val="1"/>
          <w:color w:val="auto"/>
        </w:rPr>
        <w:t>Health and Safety</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and safety of our employees is very important to us and, accordingly, we endeavor to provide comprehensive health benefits to our full-time employees. Our focus on health and safety is further evident in our response to the Covid-19 pandemic. Because our business involves the manufacturing and testing of physical products, many of our employees have been unable to work from home. To keep our employees safe and to maintain operations during the Covid-19 pandemic, we implemented increased health and safety-related measures across our global footprint. While the long-term impact of the Covid-19 pandemic remains uncertain, we have retained those enhanced measures as part of our commitment to protect the health and safety of our employees.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Amkor files annual, quarterly and current reports, proxy statements and other information with the SEC. The SEC maintains a website that contains annual, quarterly and current reports, proxy statements and other information that issuers (including Amkor) file electronically with the SEC.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Amkor’s website is </w:t>
      </w:r>
      <w:r>
        <w:rPr>
          <w:rFonts w:ascii="Times New Roman" w:cs="Times New Roman" w:eastAsia="Times New Roman" w:hAnsi="Times New Roman"/>
          <w:sz w:val="18"/>
          <w:szCs w:val="18"/>
          <w:i w:val="1"/>
          <w:iCs w:val="1"/>
          <w:color w:val="auto"/>
        </w:rPr>
        <w:t>www.amkor.com.</w:t>
      </w:r>
      <w:r>
        <w:rPr>
          <w:rFonts w:ascii="Times New Roman" w:cs="Times New Roman" w:eastAsia="Times New Roman" w:hAnsi="Times New Roman"/>
          <w:sz w:val="18"/>
          <w:szCs w:val="18"/>
          <w:color w:val="auto"/>
        </w:rPr>
        <w:t xml:space="preserve"> Amkor makes available, free of charge, through its website: our annual reports on Form 10-K; quarterly reports on Form 10-Q; current reports on Form 8-K; Forms 3, 4 and 5 filed on behalf of directors and executive officers; and any amendments to those reports filed or furnished pursuant to the Securities Exchange Act of 1934, as amended (the “Exchange Act”), as soon as reasonably practicable after such material is electronically filed with, or furnished to, the SEC. We also make available, free of charge, through our website, our Corporate Governance Guidelines, the charters of the Audit Committee, Nominating and Governance Committee and Compensation Committee of our Board of Directors, our Code of Business Conduct, our Code of Ethics for Directors and other information and materials. The information on Amkor’s website is not incorporated by reference into this Form 10-K.</w:t>
      </w: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10-K. For more information, see the Forward-Looking Statements within this Form 10-K. You should carefully consider the risks and uncertainties described below, together with all of the other information included in this Form 10-K,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 Item 1A of this Form 10-K under the caption “Risk Factors” (in addition to those discussed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Risk Factors” section) in considering our business and prospects. The following is a list of some of these risks: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35" w:lineRule="exact"/>
        <w:rPr>
          <w:sz w:val="20"/>
          <w:szCs w:val="20"/>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our customers’ and vendors’ international operations;</w:t>
      </w:r>
    </w:p>
    <w:p>
      <w:pPr>
        <w:spacing w:after="0" w:line="144"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IDMs, and new competitors, including foundries;</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4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4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w:t>
      </w:r>
    </w:p>
    <w:p>
      <w:pPr>
        <w:spacing w:after="0" w:line="95"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severance plan obligations associated with our manufacturing operations in Korea;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35" w:lineRule="exact"/>
        <w:rPr>
          <w:sz w:val="20"/>
          <w:szCs w:val="20"/>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other governments, such as tariffs, customs, duties, export controls, sanctions and other restrictive trade barriers and national security, data privacy and cybersecurity, antitrust and competition, tax, currency and banking, labor and environmental, health and safety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13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We believe that the general semiconductor market is currently going through a cyclical correction.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declines in global economic and financial conditions have harmed our business in the past, and future global downturns could materially and adversely affect our business. New variants or the potential re-emergence of the Covid-19 pandemic or the occurrence of other epidemics or pandemics, and the imposition of related public health measures and travel and business restrictions, may materially and adversely impact our business, financial condition, operating results and cash flows. In addition, we have experienced, and may experience in the future, disruptions to our business operations resulting from quarantines, self-isolations or other movement and restrictions on the ability of our employees to perform their jobs that may impact our ability to meet customer commitments. In March 2022, as part of a broad effort to mitigate a rising number of Covid-19 cases in Shanghai, the Chinese government mandated a temporary lockdown of our Shanghai factory. The Shanghai facility reopened during the second quarter and returned to normal operating levels in late June 2022. Other national, regional, and local governments have implemented, and may implement in the future,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predict the timing, strength or duration of any economic disruption caused by the Covid-19 pandemic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deteriorate, we could suffer significant losses, as we have in the past, that could materially and adversely impact our business, liquidity,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gold wire, from a limited group of suppliers. A disruption to the operations of one or more of our suppliers could extend lead times for materials and equipment and have a negative impact on our business, and the Covid-19 pandemic and resulting supply chain disruptions and economic turbulence have created extended lead times for some materials and equipment. To the extent the impact of such disruptive events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 in Ukraine,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may cause lead times to extend beyond those normally required by equipment vendors, and the Covid-19 pandemic and resulting supply chain disruptions and economic turbulence have created extended lead times for some equipment.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package mix, the average selling price of our services, our ability to manage our capital expenditures and our ability to control our costs including labor, material, overhead and financing costs.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 in Ukraine) and government shutdowns, civil disturbances and international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above factors, restrictive trade barriers adopted by U.S. and foreign governments applicable to the semiconductor supply chain, including the export rules and regulations adopted by the U.S. government in October 2022 regarding the sale of certain semiconductor chip and chipmaking equipment products to customers in China,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factories and operations in various foreign jurisdictions and many of our customers’ and vendors’ operations are also located outside of the U.S.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and are preparing to offer packaging and test services from a new factory under construction in Vietnam. Substantially all of our property, plant and equipment is located outside of the United States, and many of our customers and the vendors in our supply chain are also located outside the U.S.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 in Ukraine);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U.S. Bureau of Industry and Security announced new export control regulations applicable to U.S. semiconductor technology sold in China. The new regulations place limitations on the ability of companies to export certain advanced computing semiconductor chips, as well as chipmaking equipment, by requiring companies to obtain licenses to export such products and equipment into China. Certain of the Company’s competitors may be exempt from the new regulations by virtue of being non-U.S. manufacturers. To the extent required, Amkor would pursue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new restrictions, particularly if our competitors have, or are not required to have, required licenses or authorizations that we have not obtained. It is also possible that government agencies in China or in other countries may adopt retaliatory export control rules in response to the new U.S. regulations, which could further impact our business, liquidity, results of operations, financial condition and cash flows.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has impacted, and may impact in the future, our operations and the operations of our customers and suppliers as a result of illness, quarantines, facility closures and travel and logistics restrictions in connection with the outbreak. For example, quarantine orders and orders restricting movement have adversely affected, and may in the future adversely affect, our operations in China, the Philippines and Malaysia. Additionally, other national, regional, and local governments have implemented, and may implement in the future,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 We also remain subject to industry-wide supply constraints and inflationary price pressures, which have resulted in long lead times, rising prices and supply chain disruptions.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2022, we began construction for the first phase of a new manufacturing facility in Bac Ninh, Vietnam, which will have approximately 1.9 million square feet of space. We expect to complete the first phase and begin high-volume manufacturing in the fourth quarter of 2023. There can be no assurance, however, that the construction will be completed, or that high-volume manufacturing will begin, on that schedule or that the actual scope, costs or benefits of the project will be consistent with our current expectations.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achieve consistently high-capacity utilization, and if we fail to do so, our gross margins may be negatively impacted.</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while we generally purchase materials based on Amkor’s commitments to customer forecasts, and our customers are generally responsible for any unused materials we purchase based on such commitments, due to the Covid-19 pandemic and the resulting supply chain constraints and extended lead times, we have been placing an increasing number of our orders for materials in advance of customer forecasts. If we are unable to timely fulfill our customers’ orders, or if we are required to bear the cost of a substantial amount of unused materials, our margins, operating results, financial condition and cash flows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and may be challenged, invalidated or circumvented.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10-K on our results of operations, financial condition and cash flows could change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paid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$56.2 million as of December 31, 2022.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a defined contribution plan. Some employees have accepted previous offers, and future offers to make similar conversions could impact the timing of future payments, reducing our cash flow and materially and adversely affecting our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J. Kim and members of his family can effectively determine or substantially influence the outcome of all matters requiring stockholder approval.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James J. Kim, the Executive Chairman of our Board of Directors, Susan Y. Kim, the Executive Vice Chairman of our Board of Directors, and members of the Kim family and affiliates owned approximately 142.0 million shares, or approximately 58%, of our outstanding common stock. The Kim family also has options to acquire approximately 0.6 million shares. If the options are exercised, the Kim family’s total ownership would be an aggregate of approximately 142.6 million shares, or approximately 58%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impacted, and may impact in the future, the supply chain and consumer demand for our customers’ products and services, and such impact on the supply chain and consumer demand may ultimately have a material and adverse effect on our business, results of operations and financial condition.</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impacts of the Covid-19 pandemic have varied, and may continue to vary, by location, by industry and by end market. We, our suppliers and our customers have been disrupted by worker illness and absenteeism, quarantines and restrictions on employees’ ability to work, office and factory closures, disruptions to ports and other shipping infrastructure and border closures or other travel or health-related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cause in the future, disruptions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supply chain in connection with the sourcing of equipment, supplies and other materials. The resumption of normal business operations after any such restrictions are lifted may be delayed or constrained by lingering effects of the Covid-19 pandemic on our suppliers or customers or both, and additional restrictions may be implemented in response to the emergence of new variants or re-emergence of Covid-19. Additionally, other national, regional and local governments have implemented, and may implement in the future, restrictions to mitigate the spread of Covid-19, the emergence of new variants, or the re-emergence of Covid-19 in jurisdictions in which we, our customers and our suppliers operate (such as the government-mandated lockdown of our Shanghai factory during the second quarter of 2022),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corporate hygiene protocols at factories, restricting employee travel and employee work locations and cancelling physical participation in meetings, events and conferences) and, while the long-term impact of the Covid-19 pandemic remains uncertain, we have retained those enhanced measures as part of our commitment to protect the health and safety of our employees. We may also take further actions in the future as may be required by government authorities or that we determine to be in the best interests of our employees, customers and suppliers. There is no certainty that such measures will be sufficient to mitigate the future impact of the Covid-19 pandemic, and our ability to perform critical functions could be harmed.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this time, we are unable to predict the nature or duration of future actions that may be taken by governmental authorities and other businesses in response to the Covid-19 pandemic (including any emergence of new variants).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December 31, 2022, our total debt balance was $1,232.3 million, of which $143.8 million was classified as a current liability and $681.0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2023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(including as a result of rising interest rates, economic downturns or other developments), they may refuse or be unable to fund borrowings under their credit commitments to us. The U.S. Federal Reserve raised interest rates several times during 2022 and has signaled further rate increases in the near term.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65% of our net sales for the year ended December 31, 2022.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have already started to implement laws based on the Pillar Two Model Rules. Changes in U.S. or foreign tax laws, including new or modified guidance with respect to existing tax laws, could have a material adverse impact on our liquidity, results of operations, financial condition and cash flows.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and adversely affect our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and the European Union’s Restriction of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and Taiwan, and we have a new factory under construction in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the ongoing conflict in Ukraine); terrorist incidents and other hostilities in regions where we have facilities; and industrial accidents and other events, that could disrupt or even shutdown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sufficient to cover all of our potential losses. As a result, our business, financial condition, results of operations and cash flows could be materially and adversely affected by natural disasters and other calamities.</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location and size of our manufacturing and research and development facilities are set forth in the table below. All facilities are owned unless otherwise specified. Generally, our facilities are collateral for indebtedness incurred by our subsidiary for the jurisdiction in which the facilities are located.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Facility Size</w:t>
            </w:r>
          </w:p>
        </w:tc>
        <w:tc>
          <w:tcPr>
            <w:tcW w:w="1520" w:type="dxa"/>
            <w:vAlign w:val="bottom"/>
          </w:tcPr>
          <w:p>
            <w:pPr>
              <w:spacing w:after="0"/>
              <w:rPr>
                <w:sz w:val="13"/>
                <w:szCs w:val="13"/>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520" w:type="dxa"/>
            <w:vAlign w:val="bottom"/>
            <w:tcBorders>
              <w:bottom w:val="single" w:sz="8" w:color="auto"/>
            </w:tcBorders>
          </w:tcPr>
          <w:p>
            <w:pPr>
              <w:spacing w:after="0"/>
              <w:rPr>
                <w:sz w:val="17"/>
                <w:szCs w:val="17"/>
                <w:color w:val="auto"/>
              </w:rPr>
            </w:pPr>
          </w:p>
        </w:tc>
      </w:tr>
      <w:tr>
        <w:trPr>
          <w:trHeight w:val="216"/>
        </w:trPr>
        <w:tc>
          <w:tcPr>
            <w:tcW w:w="6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152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 (1)</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1,398,000</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1,398,000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4,439,000</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4,439,000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 (2)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1,322,000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519,000</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 (1)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1,116,000</w:t>
            </w:r>
          </w:p>
        </w:tc>
      </w:tr>
      <w:tr>
        <w:trPr>
          <w:trHeight w:val="248"/>
        </w:trPr>
        <w:tc>
          <w:tcPr>
            <w:tcW w:w="6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all facilities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10,998,000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740" w:hanging="40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is leased.</w:t>
      </w:r>
    </w:p>
    <w:p>
      <w:pPr>
        <w:spacing w:after="0" w:line="171" w:lineRule="exact"/>
        <w:rPr>
          <w:rFonts w:ascii="Times New Roman" w:cs="Times New Roman" w:eastAsia="Times New Roman" w:hAnsi="Times New Roman"/>
          <w:sz w:val="18"/>
          <w:szCs w:val="18"/>
          <w:color w:val="auto"/>
        </w:rPr>
      </w:pPr>
    </w:p>
    <w:p>
      <w:pPr>
        <w:ind w:left="740" w:hanging="408"/>
        <w:spacing w:after="0" w:line="282" w:lineRule="auto"/>
        <w:tabs>
          <w:tab w:leader="none" w:pos="7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foreign ownership restrictions in the Philippines, the land is leased. A portion of the land we lease is owned by realty companies in which we own a 40% interest.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2022, we began construction for the first phase of a new manufacturing facility in Bac Ninh, Vietnam, which will have approximately 1.9 million square feet of space. High-volume manufacturing is expected to begin in the fourth quarter of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executive offices, which are leased, are located in Tempe, Arizona and Singapore. We believe that our existing properties are in good condition and suitable for the conduct of our business and that the productive capacity of such properties is substantially being utilized or we have plans to utilize it.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disputes and litigation matters that arise in the ordinary course of our business. These include disputes and lawsuits related to intellectual property, acquisitions, licensing, contracts, tax, regulatory compliance, employee relations and other matters. For a discussion of our material legal proceedings, see Note 17 to our Consolidated Financial Statements in Part II, Item 8 of this Form 10-K.</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GLOBAL SELECT MARKET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“AMKR.” There were approximately 79 holders of record of our common stock as of February 17,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October 2020, our Board of Directors approved the initiation of a regular quarterly cash dividend on our common stock. Each quarter since the adoption of this dividend policy, the Company has declared and paid a quarterly dividend. In November 2022, our Board of Directors approved a quarterly dividend of $0.075 per share, a 50% increase from the rate set in November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 Refer to the “Liquidity” section in Item 7 of this Form 10-K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set forth in Part III, Item 12 of this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December 31, 2022:</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0" w:type="dxa"/>
            <w:vAlign w:val="bottom"/>
          </w:tcPr>
          <w:p>
            <w:pPr>
              <w:spacing w:after="0"/>
              <w:rPr>
                <w:sz w:val="11"/>
                <w:szCs w:val="11"/>
                <w:color w:val="auto"/>
              </w:rPr>
            </w:pPr>
          </w:p>
        </w:tc>
        <w:tc>
          <w:tcPr>
            <w:tcW w:w="176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338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2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vMerge w:val="continue"/>
          </w:tcPr>
          <w:p>
            <w:pPr>
              <w:spacing w:after="0"/>
              <w:rPr>
                <w:sz w:val="17"/>
                <w:szCs w:val="17"/>
                <w:color w:val="auto"/>
              </w:rPr>
            </w:pPr>
          </w:p>
        </w:tc>
        <w:tc>
          <w:tcPr>
            <w:tcW w:w="1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 ($) (b)</w:t>
            </w:r>
          </w:p>
        </w:tc>
        <w:tc>
          <w:tcPr>
            <w:tcW w:w="0" w:type="dxa"/>
            <w:vAlign w:val="bottom"/>
          </w:tcPr>
          <w:p>
            <w:pPr>
              <w:spacing w:after="0"/>
              <w:rPr>
                <w:sz w:val="1"/>
                <w:szCs w:val="1"/>
                <w:color w:val="auto"/>
              </w:rPr>
            </w:pPr>
          </w:p>
        </w:tc>
      </w:tr>
      <w:tr>
        <w:trPr>
          <w:trHeight w:val="256"/>
        </w:trPr>
        <w:tc>
          <w:tcPr>
            <w:tcW w:w="3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246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91,586,032</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960" w:type="dxa"/>
            <w:vAlign w:val="bottom"/>
            <w:tcBorders>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c>
          <w:tcPr>
            <w:tcW w:w="0" w:type="dxa"/>
            <w:vAlign w:val="bottom"/>
          </w:tcPr>
          <w:p>
            <w:pPr>
              <w:spacing w:after="0"/>
              <w:rPr>
                <w:sz w:val="1"/>
                <w:szCs w:val="1"/>
                <w:color w:val="auto"/>
              </w:rPr>
            </w:pPr>
          </w:p>
        </w:tc>
      </w:tr>
      <w:tr>
        <w:trPr>
          <w:trHeight w:val="223"/>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5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9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hanging="328"/>
        <w:spacing w:after="0" w:line="282"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share-based compensation awards issued to employees.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2011, we announced that our Board of Directors had authorized the repurchase of up to $150.0 million of our common stock, exclusive of any fees, commissions or other expenses, under the Stock Repurchase Program. On February 1, 2012, we announced that the Board of Directors had authorized an additional $150.0 million for the repurchase of our common stock under the Stock Repurchase Program, resulting in a total repurchase authorization under the Stock Repurchase Program of $300.0 million.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Stock Repurchase Program, we made no common stock purchases for the three months ended December 31, 2022, and at December 31, 2022, approximately $91.6 million was available for repurchase. Repurchases of our common stock under the Stock Repurchase Program are funded with available cash, and the Stock Repurchase Program may be suspended or discontinued at any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PERFORMANCE GRAPH </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-15240</wp:posOffset>
            </wp:positionV>
            <wp:extent cx="5554980" cy="4612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4980"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340" w:hanging="332"/>
        <w:spacing w:after="0" w:line="261"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preceding Stock Performance Graph is not deemed filed with the SEC and shall not be incorporated by reference in any of our filings under the Securities Act of 1933, as amended, or the Exchange Act, whether made before or after the date hereof and irrespective of any general incorporation language in any such filing. The stock performance shown on the performance graph above is not necessarily indicative of future performance. We will not make or endorse any predictions as to Amkor’s future stock performance.</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cumulative total returns included in the preceding Stock Performance Graph for the years ended December 31, 2017 through 2022:</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3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Amkor Technology,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243.35</w:t>
            </w: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Midcap 400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112.21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138.34</w:t>
            </w: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PHLX Semiconductor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219.26</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&lt;Reserved&gt;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0" w:lineRule="exact"/>
        <w:rPr>
          <w:sz w:val="20"/>
          <w:szCs w:val="20"/>
          <w:color w:val="auto"/>
        </w:rPr>
      </w:pPr>
    </w:p>
    <w:p>
      <w:pPr>
        <w:sectPr>
          <w:pgSz w:w="11900" w:h="16838" w:orient="portrait"/>
          <w:cols w:equalWidth="0" w:num="2">
            <w:col w:w="540" w:space="180"/>
            <w:col w:w="10520"/>
          </w:cols>
          <w:pgMar w:left="320" w:top="117" w:right="339" w:bottom="1440" w:gutter="0" w:footer="0" w:header="0"/>
          <w:type w:val="continuous"/>
        </w:sectPr>
      </w:pP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includes comparisons of certain 2022 financial information to the same information for 2021. For discussion of 2021 results in comparison with 2020 results refer to “Management’s Discussion and Analysis of Financial Conditions and Results of Operations” in our Annual Report on Form 10-K filed with the SEC on February 18,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growing within the industry megatrend markets of 5G, automotive, IoT and HPC, optimizing utilization of existing assets, and selectively growing our scale and scope through strategic investments.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which we believe provide substantial value to our customers. Advanced packages, which account for a significant portion of mobile phone semiconductor value, are the preferred choice in the high-end smartphone market. The use of advanced packages in automotive applications is also growing, largely due to new, data-intensive applications which require increased pin count and performance. In consumer devices, further miniaturization and the integration of new functionality within IoT devices also require advanced packaging. With the continuing trend towards cloud-based computing, innovative advanced packaging solutions are needed to achieve the increased speed, performance and power requirements for this market. We believe that demand for advanced packaging services will continue to grow as our customers and leading electronics OEMs strive for smaller device geometries, higher levels of integration and performance and lower power consumption. We intend to continue to leverage our investment in advanced technology to meet the demand for these services in high growth markets.</w:t>
      </w:r>
    </w:p>
    <w:p>
      <w:pPr>
        <w:spacing w:after="0" w:line="2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Another key to our success is to optimize the utilization of our assets. We build and utilize manufacturing lines which support multiple customers and increase factory utilization through sophisticated planning processes and intensive efficiency improvement activities.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identify attractive opportunities to strengthen our leadership position and market share through expansion of our operations, joint ventures, acquisitions and other strategic investments. For example, we are making preparations to deliver advanced SiP modules and other packaging solutions from a new factory in Bac Ninh, Vietnam. We believe that the Bac Ninh facility, the first phase of which is expected to begin production in the fourth quarter of 2023, will provide customers with a cost-competitive high-volume manufacturing location that offers supply chain diversification. In addition, our broad geographic footprint, including our manufacturing presence in Portugal, and our headquarters in the United States are key differentiators for us and position us to participate in initiatives to regionalize supply chains. We believe that selective growth through these strategic actions can further strengthen customer relationships, help to maintain and enhance our technological leadership, diversify our revenue streams and improve our profits.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We believe that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as part of a broad effort to mitigate a rising number of Covid-19 cases in Shanghai, the Chinese government mandated a temporary lockdown of our Shanghai factory. The Shanghai facility reopened during the second quarter and returned to normal operating levels in late June 2022, which resulted in higher than seasonal growth in net sales for the third quarter compared to the second quarter. Additionally, other national, regional and local governments have implemented, and may implement in the future, restrictions to mitigate the spread of Covid-19, the emergence of new variants or the re-emergence of Covid-19 in jurisdictions in which we, our customers and our suppliers operate,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For additional information regarding the potential impact of macroeconomic factors, the Covid-19 pandemic and other risks on our business, results of operations and financial condition, please refer to the “Risk Factors” section in Part I, Item 1A of this Form 10-K.</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December 31, 2022, we had cash and cash equivalents and short-term investments of $959.1 million and $282.0 million, respectively.</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Part 1, Item 1A of this Form 10-K. We expect macroeconomic conditions to be weak in 2023. To prepare for future growth, we will continue to make prudent investments, including construction in Vietnam, but we will limit capacity expansion generally and control costs in response to changing market conditions.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Financial Summary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increased $953.3 million or 15.5% to $7,091.6 million in 2022 from $6,138.3 million in 2021. The increase was primarily due to higher sales of advanced products across all end markets, partially offset by unfavorable foreign currency exchange rate movements.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decreased to 18.8% in 2022 compared to 20.0% in 2021. The decrease in gross margin was primarily due to an increase in the mix of products sold with higher material content and the government-mandated lockdown and related underutilization of our Shanghai factory during the second quarter of 2022. The decrease was partially offset by an increase in net sales and net favorable foreign currency exchange rate movements.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margin expanded 30 basis points to 12.7% in 2022 from 12.4% in 2021. The increase in our operating income margin was primarily due to favorable foreign currency exchange rate movements in operating expenses, partially offset by a decrease in our gross margin discussed above.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2022, our capital expenditures totaled $908.3 million, or 12.8% of net sales, compared to $779.8 million, or 12.7% of net sales in 2021. Our spending was primarily focused on investments in advanced packaging and test equipment and a new manufacturing facility in Bac Ninh, Vietnam.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$1,098.8 million for the year ended December 31, 2022, compared to $1,121.3 million for the year ended December 31, 2021. This decrease was primarily due to changes in working capital and changes in advanced payments to our vendors and from our customers, partially offset by higher net sales and operating profits.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2022, our Board of Directors approved a quarterly dividend of $0.075 per share, a 50% increase from the rate set in November 2021. In 2022, we paid total quarterly cash dividends of $55.1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20" w:type="dxa"/>
            <w:vAlign w:val="bottom"/>
          </w:tcPr>
          <w:p>
            <w:pPr>
              <w:spacing w:after="0"/>
              <w:rPr>
                <w:sz w:val="16"/>
                <w:szCs w:val="16"/>
                <w:color w:val="auto"/>
              </w:rPr>
            </w:pPr>
          </w:p>
        </w:tc>
      </w:tr>
      <w:tr>
        <w:trPr>
          <w:trHeight w:val="23"/>
        </w:trPr>
        <w:tc>
          <w:tcPr>
            <w:tcW w:w="7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45.5 %</w:t>
            </w:r>
          </w:p>
        </w:tc>
      </w:tr>
      <w:tr>
        <w:trPr>
          <w:trHeight w:val="21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1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23.3 %</w:t>
            </w:r>
          </w:p>
        </w:tc>
      </w:tr>
      <w:tr>
        <w:trPr>
          <w:trHeight w:val="21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r>
      <w:tr>
        <w:trPr>
          <w:trHeight w:val="21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1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2"/>
                <w:szCs w:val="2"/>
                <w:color w:val="auto"/>
              </w:rPr>
            </w:pPr>
          </w:p>
        </w:tc>
        <w:tc>
          <w:tcPr>
            <w:tcW w:w="96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2"/>
                <w:szCs w:val="2"/>
                <w:color w:val="auto"/>
              </w:rPr>
            </w:pPr>
          </w:p>
        </w:tc>
        <w:tc>
          <w:tcPr>
            <w:tcW w:w="1060" w:type="dxa"/>
            <w:vAlign w:val="bottom"/>
            <w:vMerge w:val="restart"/>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20" w:type="dxa"/>
            <w:vAlign w:val="bottom"/>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7,091,585</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6,138,329</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5,050,589</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524"/>
              <w:spacing w:after="0"/>
              <w:rPr>
                <w:sz w:val="20"/>
                <w:szCs w:val="20"/>
                <w:color w:val="auto"/>
              </w:rPr>
            </w:pPr>
            <w:r>
              <w:rPr>
                <w:rFonts w:ascii="Times New Roman" w:cs="Times New Roman" w:eastAsia="Times New Roman" w:hAnsi="Times New Roman"/>
                <w:sz w:val="16"/>
                <w:szCs w:val="16"/>
                <w:color w:val="auto"/>
              </w:rPr>
              <w:t>953,256</w:t>
            </w:r>
          </w:p>
        </w:tc>
        <w:tc>
          <w:tcPr>
            <w:tcW w:w="10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15.5 %  $</w:t>
            </w:r>
          </w:p>
        </w:tc>
        <w:tc>
          <w:tcPr>
            <w:tcW w:w="1420" w:type="dxa"/>
            <w:vAlign w:val="bottom"/>
            <w:shd w:val="clear" w:color="auto" w:fill="CCEEFF"/>
          </w:tcPr>
          <w:p>
            <w:pPr>
              <w:jc w:val="right"/>
              <w:ind w:right="524"/>
              <w:spacing w:after="0"/>
              <w:rPr>
                <w:sz w:val="20"/>
                <w:szCs w:val="20"/>
                <w:color w:val="auto"/>
              </w:rPr>
            </w:pPr>
            <w:r>
              <w:rPr>
                <w:rFonts w:ascii="Times New Roman" w:cs="Times New Roman" w:eastAsia="Times New Roman" w:hAnsi="Times New Roman"/>
                <w:sz w:val="16"/>
                <w:szCs w:val="16"/>
                <w:color w:val="auto"/>
              </w:rPr>
              <w:t>1,087,740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$953.3 million increase in net sales in 2022 compared to 2021 was primarily due to higher sales of advanced products across all end markets, partially offset by unfavorable foreign currency exchange rate movements. Sales in the communications end market represented 61% of the increase, driven primarily by content and market share gains within premium tier 5G smartphones. The automotive and industrial end market represented 18% of the increase, driven by the increase of silicon content within vehicles for advanced features, including ADAS, infotainment and telematics. Sales in the computing end market accounted for 16% of the increase, driven primarily by a shift to cloud-based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2"/>
                <w:szCs w:val="2"/>
                <w:color w:val="auto"/>
              </w:rPr>
            </w:pPr>
          </w:p>
        </w:tc>
        <w:tc>
          <w:tcPr>
            <w:tcW w:w="8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2"/>
                <w:szCs w:val="2"/>
                <w:color w:val="auto"/>
              </w:rPr>
            </w:pPr>
          </w:p>
        </w:tc>
        <w:tc>
          <w:tcPr>
            <w:tcW w:w="1120" w:type="dxa"/>
            <w:vAlign w:val="bottom"/>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1,329,987</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1,225,554</w:t>
            </w:r>
          </w:p>
        </w:tc>
        <w:tc>
          <w:tcPr>
            <w:tcW w:w="6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900,814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104,433</w:t>
            </w:r>
          </w:p>
        </w:tc>
        <w:tc>
          <w:tcPr>
            <w:tcW w:w="5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324,740</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18.8 %</w:t>
            </w:r>
          </w:p>
        </w:tc>
        <w:tc>
          <w:tcPr>
            <w:tcW w:w="340" w:type="dxa"/>
            <w:vAlign w:val="bottom"/>
          </w:tcPr>
          <w:p>
            <w:pPr>
              <w:spacing w:after="0"/>
              <w:rPr>
                <w:sz w:val="18"/>
                <w:szCs w:val="18"/>
                <w:color w:val="auto"/>
              </w:rPr>
            </w:pPr>
          </w:p>
        </w:tc>
        <w:tc>
          <w:tcPr>
            <w:tcW w:w="148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color w:val="auto"/>
              </w:rPr>
              <w:t>20.0 %</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17.8 %</w:t>
            </w:r>
          </w:p>
        </w:tc>
        <w:tc>
          <w:tcPr>
            <w:tcW w:w="180" w:type="dxa"/>
            <w:vAlign w:val="bottom"/>
          </w:tcPr>
          <w:p>
            <w:pPr>
              <w:spacing w:after="0"/>
              <w:rPr>
                <w:sz w:val="18"/>
                <w:szCs w:val="18"/>
                <w:color w:val="auto"/>
              </w:rPr>
            </w:pPr>
          </w:p>
        </w:tc>
        <w:tc>
          <w:tcPr>
            <w:tcW w:w="1620" w:type="dxa"/>
            <w:vAlign w:val="bottom"/>
            <w:gridSpan w:val="2"/>
          </w:tcPr>
          <w:p>
            <w:pPr>
              <w:jc w:val="right"/>
              <w:ind w:right="284"/>
              <w:spacing w:after="0"/>
              <w:rPr>
                <w:sz w:val="20"/>
                <w:szCs w:val="20"/>
                <w:color w:val="auto"/>
              </w:rPr>
            </w:pPr>
            <w:r>
              <w:rPr>
                <w:rFonts w:ascii="Times New Roman" w:cs="Times New Roman" w:eastAsia="Times New Roman" w:hAnsi="Times New Roman"/>
                <w:sz w:val="16"/>
                <w:szCs w:val="16"/>
                <w:color w:val="auto"/>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SiP modules, which tend to have higher material costs than our other products. As we continue to increase production of these higher material cost modules, there could be an impact on our profitability, depending on overall utilization.</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gross profit increased for 2022 compared to 2021, gross margin decreased primarily due to an increase in the mix of products sold with higher material content and the government-mandated lockdown and related underutilization of our Shanghai factory during the second quarter of 2022. The decrease was partially offset by an increase in net sales and net favorable foreign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2"/>
                <w:szCs w:val="2"/>
                <w:color w:val="auto"/>
              </w:rPr>
            </w:pPr>
          </w:p>
        </w:tc>
        <w:tc>
          <w:tcPr>
            <w:tcW w:w="9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2"/>
                <w:szCs w:val="2"/>
                <w:color w:val="auto"/>
              </w:rPr>
            </w:pPr>
          </w:p>
        </w:tc>
        <w:tc>
          <w:tcPr>
            <w:tcW w:w="1060" w:type="dxa"/>
            <w:vAlign w:val="bottom"/>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3"/>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283,372</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296,084</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302,842</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rPr>
              <w:t>(12,712)</w:t>
            </w:r>
          </w:p>
        </w:tc>
        <w:tc>
          <w:tcPr>
            <w:tcW w:w="116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rPr>
              <w:t>(4.3)%  $</w:t>
            </w: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(6,758)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in 2022 compared to 2021. The decrease was primarily due to favorable foreign currency exchange rate movements and costs incurred for factory consolidation efforts in Japan in the prior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2"/>
                <w:szCs w:val="2"/>
                <w:color w:val="auto"/>
              </w:rPr>
            </w:pPr>
          </w:p>
        </w:tc>
        <w:tc>
          <w:tcPr>
            <w:tcW w:w="9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2"/>
                <w:szCs w:val="2"/>
                <w:color w:val="auto"/>
              </w:rPr>
            </w:pPr>
          </w:p>
        </w:tc>
        <w:tc>
          <w:tcPr>
            <w:tcW w:w="104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80" w:type="dxa"/>
            <w:vAlign w:val="bottom"/>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149,429</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166,037</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140,727</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rPr>
              <w:t>(16,608)</w:t>
            </w:r>
          </w:p>
        </w:tc>
        <w:tc>
          <w:tcPr>
            <w:tcW w:w="11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(10.0)%  $</w:t>
            </w:r>
          </w:p>
        </w:tc>
        <w:tc>
          <w:tcPr>
            <w:tcW w:w="1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25,310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Research and development expenses in 2022 decreased compared to 2021 due to favorable foreign currency exchange rate movements and projects that moved into production, partially offset by new development projects in advanced packaging technologies.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13.7 %</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48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&gt;100%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&gt;(100)%</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retirement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48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58.6 %</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0" w:type="dxa"/>
            <w:vAlign w:val="bottom"/>
          </w:tcPr>
          <w:p>
            <w:pPr>
              <w:spacing w:after="0"/>
              <w:rPr>
                <w:sz w:val="1"/>
                <w:szCs w:val="1"/>
                <w:color w:val="auto"/>
              </w:rPr>
            </w:pPr>
          </w:p>
        </w:tc>
      </w:tr>
      <w:tr>
        <w:trPr>
          <w:trHeight w:val="212"/>
        </w:trPr>
        <w:tc>
          <w:tcPr>
            <w:tcW w:w="2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expense,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48,367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70,563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48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(16.8)%</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(22,196)</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increased in 2022 compared to 2021, primarily due to an increase in our finance lease obligation balance, an increase in our average outstanding debt and an increase in interest rates throughout the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increased in 2022 compared to 2021, primarily due to higher interest rates on our available-for-sale debt investments.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2"/>
                <w:szCs w:val="2"/>
                <w:color w:val="auto"/>
              </w:rPr>
            </w:pPr>
          </w:p>
        </w:tc>
        <w:tc>
          <w:tcPr>
            <w:tcW w:w="1100" w:type="dxa"/>
            <w:vAlign w:val="bottom"/>
            <w:vMerge w:val="restart"/>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2"/>
                <w:szCs w:val="2"/>
                <w:color w:val="auto"/>
              </w:rPr>
            </w:pPr>
          </w:p>
        </w:tc>
        <w:tc>
          <w:tcPr>
            <w:tcW w:w="116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80" w:type="dxa"/>
            <w:vAlign w:val="bottom"/>
            <w:gridSpan w:val="5"/>
          </w:tcPr>
          <w:p>
            <w:pPr>
              <w:jc w:val="right"/>
              <w:ind w:right="104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89,890</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69,459</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46,183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20,431</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23,276</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10.5 %</w:t>
            </w:r>
          </w:p>
        </w:tc>
        <w:tc>
          <w:tcPr>
            <w:tcW w:w="38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9.7 %</w:t>
            </w:r>
          </w:p>
        </w:tc>
        <w:tc>
          <w:tcPr>
            <w:tcW w:w="36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11.9 %</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is below the U.S. statutory rate of 21% primarily due to lower tax rates applicable to our operations in some foreign jurisdictions where we earn income. The effective tax rates in 2022 and 2020 include a $17.8 million and $20.2 million income tax benefit, respectively, from the recognition of deferred tax assets we expect to utilize in future years.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2022, 2021 and 2020, our subsidiaries in Korea and Singapore operated under various conditional reduced tax rates. The conditional reduced tax rates granted to certain operations in the Philippines expired during 2020 and 2021. As these conditional reduced tax rates expire, income earned in these jurisdictions will be subject to higher statutory income tax rates, which may cause our effective tax rate to increase.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our Consolidated Financial Statements included in Part II, Item 8 of this Form 10-K for additional information about our income tax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twelve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 Item 1A of this Form 10-K.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6 and Note 11 to our Consolidated Financial Statements in Part II, Item 8 of this Form 10-K for additional information on our investments and borrowings, respectively.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we had cash and cash equivalents and short-term investments of $1,241.0 million. Included in our cash and short-term investments balances as of December 31, 2022, is $1,090.4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 For the year ended December 31, 2022, we estimate that repatriation of this foreign cash and short-term investments would generate withholding taxes and state income taxes of approximately $36 million.</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2022, our net liability associated with unrecognized tax benefits is $29.6 million. Due to the uncertainty regarding the amount and timing of any future cash outflows associated with our unrecognized tax benefits, we are unable to reasonably estimate the amount and period of ultimate settlement, if any, with the various taxing authorities.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year ended December 31, 2022 and 2021, we sold accounts receivable totaling $386.5 million and $464.4 million, net of discounts and fees of $1.1 million and $1.2 million, respectively.</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borrowing capacity under our $600.0 million senior secured revolving credit facility (“2022 Singapore Revolver”) is limited to a base amount equal to the lesser of: (1) $600.0 million; or (2) $250 million plus a variable amount equal to 37.5% of our consolidated accounts receivable balance. As of December 31, 2022, we had availability of $600.0 million. As of December 31, 2022, our foreign subsidiaries had $615.0 million available for future borrowings under revolving credit facilities, including the 2022 Singapore Revolver, and $70.3 million available to be borrowed under term loan credit facilities for working capital purposes and capital expenditures. For additional information regarding the 2022 Singapore Revolver, please refer to Note 11 to our Consolidated Financial Statements in Part II, Item 8 of this Form 10-K.</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had debt of $1,232.3 million, with $143.8 million payable within 12 months. As of December 31, 2022, the interest payment obligations, based on stated coupon rates for fixed rate debt and interest rates applicable at December 31, 2022 for variable rate debt, were $219.6 million during the remaining term of the debt. Interest payment obligations payable within 12 months is $51.4 million. We were in compliance with all debt covenants as of December 31, 2022, and we expect to remain in compliance with these covenants for at least the next twelve months. For additional information regarding our debt arrangements, please refer to Note 11 to our Consolidated Financial Statements in Part II, Item 8 of this Form 10-K.</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Amkor Technology Taiwan Ltd. (“ATT”), Amkor Advanced Technology Taiwan, Inc. (“AATT”) and Amkor Technology Singapore Holding Pte. Ltd. (“ATSH”) guarantee certain debt of our subsidiaries.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who were employed prior to August 1, 2015. As of December 31, 2022, the severance liability was $56.2 million, with $7.4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December 31, 2022, we had foreign pension plan obligations of $44.7 million, for which the timing and actual amount of impact on our future cash flow is uncertain. For additional information regarding our pension and severance plans, please refer to Note 12 to our Consolidated Financial Statements in Part II, Item 8 of this Form 10-K.</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December 31, 2022, our total remaining operating lease obligations and finance lease obligations were $161.4 million and $117.6 million, respectively, with $75.8 million and $60.1 million payable within 12 months, respectively. The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 our future minimum lease payments including interest payments. For additional information regarding our leases, please refer to Note 9 to our Consolidated Financial Statements in Part II, Item 8 of this Form 10-K.</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December 31, 2022, the purchase obligations were $582.8 million, with $564.8 million payable within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we paid total quarterly cash dividends of $55.1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December 31, 2022, approximately $91.6 million was available to repurchase common stock pursuant to the Stock Repurchase Program.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and a new manufacturing facility in Bac Ninh, Vietnam. In 2022, our capital expenditures totaled $908.3 million or approximately 12.8% of net sales.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our 2023 capital expenditures will be approximately $800 million. Ultimately, the amount of our 2023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Part I, Item 1A of this Form 10-K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each of the three years ended December 31, 2022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4"/>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1,098,756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1,121,295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770,033</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(1,007,169)</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(943,879)</w:t>
            </w:r>
          </w:p>
        </w:tc>
        <w:tc>
          <w:tcPr>
            <w:tcW w:w="460" w:type="dxa"/>
            <w:vAlign w:val="bottom"/>
          </w:tcPr>
          <w:p>
            <w:pPr>
              <w:spacing w:after="0"/>
              <w:rPr>
                <w:sz w:val="19"/>
                <w:szCs w:val="19"/>
                <w:color w:val="auto"/>
              </w:rPr>
            </w:pPr>
          </w:p>
        </w:tc>
        <w:tc>
          <w:tcPr>
            <w:tcW w:w="11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rPr>
              <w:t>(638,705)</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55,597</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(30,102)</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rPr>
              <w:t>(333,719)</w:t>
            </w:r>
          </w:p>
        </w:tc>
      </w:tr>
    </w:tbl>
    <w:p>
      <w:pPr>
        <w:spacing w:after="0" w:line="3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year ended December 31, 2022 decreased by $22.5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2021, primarily due to changes in working capital and changes in advanced payments to our vendors and from our customers, partially offset by higher net sales and operating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year ended December 31, 2022 increased by $63.3 million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primarily due to increased payments related to property, plant and equipment and increased net payments for foreign exchange forward contracts, partially offset by higher net proceeds from short-term investments. Payments for property, plant and equipment can fluctuate based on the timing of purchase, receipt and acceptance of equipment.</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provided by financing activities for the year ended December 31, 2022 was primarily due to net debt borrowings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and Korea, offset by the payments of our quarterly dividends and finance lease obligations. The net cash used in financing activities for the year ended December 31, 2021 was primarily due to dividend payments, partially offset by net debt borrowing in Korea.</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1,121,295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770,033</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(553,021)</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insurance recovery for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220,831</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Indemnifications and Guarantees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17 to our Consolidated Financial Statements in Part II, Item 8 of this Form 10-K for a discussion of contingencies related to litigation and other legal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Form 10-K. Our preparation of this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 including the impact of Covid-19 and any deterioration in the global business and economic environment.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net of sales, use, value-added and other similar taxes, as a performance obligation is satisfied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w:t>
      </w:r>
    </w:p>
    <w:p>
      <w:pPr>
        <w:spacing w:after="0" w:line="1" w:lineRule="exact"/>
        <w:rPr>
          <w:sz w:val="20"/>
          <w:szCs w:val="20"/>
          <w:color w:val="auto"/>
        </w:rPr>
      </w:pPr>
    </w:p>
    <w:p>
      <w:pPr>
        <w:ind w:firstLine="8"/>
        <w:spacing w:after="0" w:line="260" w:lineRule="auto"/>
        <w:tabs>
          <w:tab w:leader="none" w:pos="2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 in the contract; and (5) recognizing revenue when the performance obligation is satisfied. Substantially all of our revenue is recognized as services are rendered.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operate in and file income tax returns in various U.S. and non-U.S. jurisdictions which are subject to examination by tax authorities.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 income from our foreign subsidiaries, expiration of conditional reduced tax rates or changes in tax laws or regulations could result in increased tax expense and effective tax rates in the future.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 planning strategies and results of recent operations. With the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certain U.S. federal net operating losses and U.S. foreign tax credit carryforwards expected to expire unused and on select deferred tax assets in certain foreign jurisdictions. Such valuation allowances are released as the related tax benefits are realized or when sufficient evidence exists to conclude that it is more likely than not that the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Valuation of Inventory. </w:t>
      </w:r>
      <w:r>
        <w:rPr>
          <w:rFonts w:ascii="Times New Roman" w:cs="Times New Roman" w:eastAsia="Times New Roman" w:hAnsi="Times New Roman"/>
          <w:sz w:val="18"/>
          <w:szCs w:val="18"/>
          <w:color w:val="auto"/>
        </w:rPr>
        <w:t>We order raw materials based on customers’ forecasted demand. If our customers change their forecasted requirements and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by the cost of inventory we estimate is excess and obsolete based on the age of our inventories. When a determination is made that the inventory will not be utilized in production or is not saleable, it is written off. The forecast of demand and the evaluation of inventory recoverability require estimates and judgment. Although we make an effort to ensure forecasted demand and estimates of inventory are accurate, any unanticipated changes could have a material effect on our financial condition and result of operations.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For inventory valued using the standard cost method, we review and set our standard costs as needed, but at a minimum on a quarterly basis.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Assets. </w:t>
      </w:r>
      <w:r>
        <w:rPr>
          <w:rFonts w:ascii="Times New Roman" w:cs="Times New Roman" w:eastAsia="Times New Roman" w:hAnsi="Times New Roman"/>
          <w:sz w:val="18"/>
          <w:szCs w:val="18"/>
          <w:color w:val="auto"/>
        </w:rPr>
        <w:t>We review long-lived assets, which include property, plant and equipment and goodwill,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amount may not be recoverable. Factors we consider important which could trigger an impairment review include the following:</w:t>
      </w:r>
    </w:p>
    <w:p>
      <w:pPr>
        <w:spacing w:after="0" w:line="20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expected historical or projected future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asset;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relative to net book value.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2022, to assess the potential impact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fluctuations in exchange rates for all foreign denominated assets and liabilities. Assuming that all foreign currencies appreciated 10% against the U.S. dollar and taking into account our foreign currency forward contracts, our income before taxes as of December 31, 2022 would have been approximately $11 million lower, due to the remeasurement of monetary assets and liabilities.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year ended December 31, 2022, approximately 90% of our net sales were denominated in U.S. dollars. Our remaining net sales were principally denominated in Japanese yen. For the year ended December 31, 2022, approximately 55%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December 31, 2022 to assess the potential impact of fluctuations in exchange rates for all foreign denominated sales and operating expenses. Assuming that all foreign currencies appreciated 10% against the U.S. dollar, our operating income for the year ended December 31, 2022 would have been approximately $133 million lower.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The effect of foreign exchange rate translation for these entities was a loss of $10.7 million and $16.8 million for the years ended December 31, 2022 and 2021, respectively, and was recognized as an adjustment to equity through other comprehensive income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6 to our Consolidated Financial Statements in Part II, Item 8 of this Form 10-K.</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3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1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debt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$133,771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$110,555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$1,091,230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$1,062,185</w:t>
            </w:r>
          </w:p>
        </w:tc>
      </w:tr>
      <w:tr>
        <w:trPr>
          <w:trHeight w:val="195"/>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rate debt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148,542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147,559</w:t>
            </w:r>
          </w:p>
        </w:tc>
      </w:tr>
      <w:tr>
        <w:trPr>
          <w:trHeight w:val="196"/>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$1,239,772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$1,209,744</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16 to our Consolidated Financial Statements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78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We present the information required by Item 8 of Form 10-K here in the following order:</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8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40" w:type="dxa"/>
            <w:vAlign w:val="bottom"/>
            <w:tcBorders>
              <w:bottom w:val="single" w:sz="8" w:color="0000FF"/>
            </w:tcBorders>
            <w:gridSpan w:val="4"/>
            <w:vMerge w:val="continue"/>
          </w:tcPr>
          <w:p>
            <w:pPr>
              <w:spacing w:after="0"/>
              <w:rPr>
                <w:sz w:val="15"/>
                <w:szCs w:val="15"/>
                <w:color w:val="auto"/>
              </w:rPr>
            </w:pPr>
          </w:p>
        </w:tc>
        <w:tc>
          <w:tcPr>
            <w:tcW w:w="4980" w:type="dxa"/>
            <w:vAlign w:val="bottom"/>
            <w:gridSpan w:val="6"/>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 Years ended December 31, 2022, 2021 and 2020</w:t>
            </w:r>
          </w:p>
        </w:tc>
        <w:tc>
          <w:tcPr>
            <w:tcW w:w="418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 Years ended December 31, 2022, 2021 and 2020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 December 31, 2022 and 2021</w:t>
            </w:r>
          </w:p>
        </w:tc>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 Years ended December 31, 2022, 2021 and 2020</w:t>
            </w:r>
          </w:p>
        </w:tc>
        <w:tc>
          <w:tcPr>
            <w:tcW w:w="320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 — Years December 31, 2022, 2021 and 2020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000" w:type="dxa"/>
            <w:vAlign w:val="bottom"/>
            <w:tcBorders>
              <w:top w:val="single" w:sz="8" w:color="0000FF"/>
            </w:tcBorders>
            <w:gridSpan w:val="3"/>
          </w:tcPr>
          <w:p>
            <w:pPr>
              <w:spacing w:after="0"/>
              <w:rPr>
                <w:sz w:val="18"/>
                <w:szCs w:val="18"/>
                <w:color w:val="auto"/>
              </w:rPr>
            </w:pPr>
          </w:p>
        </w:tc>
        <w:tc>
          <w:tcPr>
            <w:tcW w:w="43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 Years ended December 31, 2022, 2021 and 2020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Amkor Technology,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Amkor Technology, Inc. and its subsidiaries (the “Company”) as of December 31, 2022 and 2021, and the related consolidated statements of income, of comprehensive income, of stockholders’ equity and of cash flows for each of the three years in the period ended December 31, 2022, including the related notes and financial statement schedule of valuation and qualifying accounts for each of the three years in the period ended December 31, 2022 appearing under Item 8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and 4 to the consolidated financial statements, the Company recorded income tax expense of $89.9 million for the year ended December 31, 2022, and net deferred tax assets of $78.2 million and unrecognized tax benefits of $33.3 million as of December 31, 2022. 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Management monitors on an ongoing basis its ability to utilize deferred tax assets and whether there is a need for a related valuation allowance. In evaluating the ability to recover deferred tax assets in the jurisdictions from which they arise, management considers all available positive and negative evidence, including scheduled reversals of deferred tax liabilities, projected future taxable income, tax-planning strategies and recent results of operations. The Company operates in and files income tax returns in various U.S. and foreign jurisdictions, which are subject to examination by tax authorities. Years open to examination contain matters that could be subject to differing interpretations of applicable tax laws and regulations related to the amount and/or timing of income, deductions and tax credits.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income taxes is a critical audit matter are the significant judgment by management in determining the income tax provision and other tax positions. This in turn led to a high degree of auditor judgment, subjectivity and effort in performing procedures and in evaluating audit evidence relating to income taxes. The audit effort involved the use of professionals with specialized skill and knowledge to assist in evaluating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the controls addressing the completeness and accuracy of the data utilized. These procedures also included, among others (i) testing the income tax provision calculation and underlying data, including the effective tax rate reconciliation, significant return to provision adjustments, and permanent and temporary differences, (ii) evaluating management’s assessment of the realizability of deferred tax assets on a jurisdictional basis, (iii) evaluating the identification of reserves for unrecognized tax benefits and the reasonableness of the “more likely than not” determination considering the jurisdictions, court decisions, legislative actions, statute of limitations, and developments in tax examinations, and (iv) using professionals with specialized skill and knowledge to assist in evaluating the reasonableness of management’s judgment and estimates, including application of foreign and domestic tax laws and regulations.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7,091,585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6,138,329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5,050,589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5,761,598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4,912,775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4,149,775</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900,814</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302,842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443,569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457,245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70,563</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386,682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46,183</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340,499</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338,138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645,607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340,499</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Adjustments to net unrealized gains (losses) on available-for-sale debt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30"/>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r>
      <w:tr>
        <w:trPr>
          <w:trHeight w:val="223"/>
        </w:trPr>
        <w:tc>
          <w:tcPr>
            <w:tcW w:w="6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348,654</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7"/>
        </w:trPr>
        <w:tc>
          <w:tcPr>
            <w:tcW w:w="8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3"/>
          </w:tcPr>
          <w:p>
            <w:pPr>
              <w:jc w:val="center"/>
              <w:ind w:left="54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959,072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826,744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investments (amortized cost of $283,641 and $251,959, respectively)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251,530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$365 and $440, respectively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1,365,504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1,258,767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484,959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3,301,239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2,856,563</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3,135,614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2,871,058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159,742</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188,890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122,860</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6,821,757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6,038,554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153,008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828,727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payable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210,875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422,892</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1,662,411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1,679,735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1,088,521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984,988</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severance obligations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201,839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196,876</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3,122,056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3,066,008</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designated Series A, none issued</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Common stock, $0.001 par value, 500,000 shares authorized, 291,249 and 290,466 shares issued, and 245,091 and</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244,315 shares outstanding, respectively</w:t>
            </w: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1,996,344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1,977,134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1,874,644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1,163,939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46,158 and 46,151 shares,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(219,065)</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Amkor stockholders’ equity</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3,668,752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2,942,276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equity</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3,699,701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2,972,546</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6,821,757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6,038,554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580" w:type="dxa"/>
            <w:vAlign w:val="bottom"/>
            <w:gridSpan w:val="5"/>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40" w:type="dxa"/>
            <w:vAlign w:val="bottom"/>
          </w:tcPr>
          <w:p>
            <w:pPr>
              <w:spacing w:after="0"/>
              <w:rPr>
                <w:sz w:val="4"/>
                <w:szCs w:val="4"/>
                <w:color w:val="auto"/>
              </w:rPr>
            </w:pPr>
          </w:p>
        </w:tc>
        <w:tc>
          <w:tcPr>
            <w:tcW w:w="10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18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0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286,877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1,927,739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1,963,739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1,990,239</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338,138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338,138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340,499</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8,155</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8,155</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17,611</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8,030</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($0.04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(9,713)</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1,953,378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562,502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27,270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2,325,699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2,353,959</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642,995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642,995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645,607</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(7,292)</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12,787</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10,970</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($0.17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(41,558)</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0" w:type="dxa"/>
            <w:vAlign w:val="bottom"/>
          </w:tcPr>
          <w:p>
            <w:pPr>
              <w:spacing w:after="0"/>
              <w:rPr>
                <w:sz w:val="1"/>
                <w:szCs w:val="1"/>
                <w:color w:val="auto"/>
              </w:rPr>
            </w:pPr>
          </w:p>
        </w:tc>
      </w:tr>
      <w:tr>
        <w:trPr>
          <w:trHeight w:val="108"/>
        </w:trPr>
        <w:tc>
          <w:tcPr>
            <w:tcW w:w="17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1,977,134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1,163,939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2,942,276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2,972,546</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765,823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765,823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767,042</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w:t>
            </w: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13,562</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($0.225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(55,118)</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291,249</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1,996,344</w:t>
            </w: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1,874,644</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(46,158)</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(219,226)</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3,668,752</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3,699,701</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9"/>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767,042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645,607</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340,499</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510,396</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deferred debt issuance costs and premiums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debt retirement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disposal of fixed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8,030</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(106,693)</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(75,499)</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(12,348)</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(22,614)</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Trade 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48,786</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69,151</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Pension and severance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(21,535)</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operating lease ROU asset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23,888</w:t>
            </w:r>
          </w:p>
        </w:tc>
      </w:tr>
      <w:tr>
        <w:trPr>
          <w:trHeight w:val="207"/>
        </w:trPr>
        <w:tc>
          <w:tcPr>
            <w:tcW w:w="6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1,098,756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1,121,295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770,033</w:t>
            </w:r>
          </w:p>
        </w:tc>
      </w:tr>
      <w:tr>
        <w:trPr>
          <w:trHeight w:val="19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(779,779)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(553,021)</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insurance recovery for property, plant and equipment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foreign exchange forward contracts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49,226</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foreign exchange forward contracts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(14,031)</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(535,368)</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247,081</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159,015</w:t>
            </w:r>
          </w:p>
        </w:tc>
      </w:tr>
      <w:tr>
        <w:trPr>
          <w:trHeight w:val="213"/>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4,574</w:t>
            </w:r>
          </w:p>
        </w:tc>
      </w:tr>
      <w:tr>
        <w:trPr>
          <w:trHeight w:val="212"/>
        </w:trPr>
        <w:tc>
          <w:tcPr>
            <w:tcW w:w="6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(943,879)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(638,705)</w:t>
            </w:r>
          </w:p>
        </w:tc>
      </w:tr>
      <w:tr>
        <w:trPr>
          <w:trHeight w:val="19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312,000</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revolving credit facilities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(332,000)</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short-term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86,769</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short-term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(87,353)</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331,033</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(648,514)</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(9,851)</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stock through share-based compensation plans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17,611</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dividends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r>
      <w:tr>
        <w:trPr>
          <w:trHeight w:val="207"/>
        </w:trPr>
        <w:tc>
          <w:tcPr>
            <w:tcW w:w="6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(333,719)</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129,324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(196,335)</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831,521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702,197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898,532</w:t>
            </w:r>
          </w:p>
        </w:tc>
      </w:tr>
      <w:tr>
        <w:trPr>
          <w:trHeight w:val="21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962,406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831,521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702,197</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9"/>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46,932</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61,295</w:t>
            </w:r>
          </w:p>
        </w:tc>
      </w:tr>
      <w:tr>
        <w:trPr>
          <w:trHeight w:val="213"/>
        </w:trPr>
        <w:tc>
          <w:tcPr>
            <w:tcW w:w="6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97,333</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24,011</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43,404</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Property, plant and equipment included in capital expenditures payable</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142,160</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211,421</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181,376</w:t>
            </w:r>
          </w:p>
        </w:tc>
      </w:tr>
      <w:tr>
        <w:trPr>
          <w:trHeight w:val="219"/>
        </w:trPr>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Right of use assets acquired through operating lease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64,849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63,314</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41,672</w:t>
            </w:r>
          </w:p>
        </w:tc>
      </w:tr>
      <w:tr>
        <w:trPr>
          <w:trHeight w:val="213"/>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Right of use assets acquired through finance lease liabilities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58,166</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73,894</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r>
      <w:tr>
        <w:trPr>
          <w:trHeight w:val="219"/>
        </w:trPr>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Dividends declared and unpaid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9,713</w:t>
            </w: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Amkor was a pioneer in the outsourcing of semiconductor packaging and test services, and over the years we have built a leading position by:</w:t>
      </w:r>
    </w:p>
    <w:p>
      <w:pPr>
        <w:spacing w:after="0" w:line="10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developing innovative packaging and test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expertise in high-volume manufacturing processes and developing a reputation for high quality and solid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long-standing relationships with our customers, which include many of the world’s leading semiconductor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customers, foundries, OEMs and equipment and material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strategic end markets that offer solid growth potential;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geographically diverse operating base;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competitive cost structure through disciplined capital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Amkor Technology, Inc. and its subsidiaries. Our Consolidated Financial Statements reflect the elimination of all significant inter-company accounts and transactions. Our investments in variable interest entities in which we are the primary beneficiary are consolidated. We reflect the remaining portion of variable interest entities and foreign subsidiaries that are not wholly owned as noncontrolling interests.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revenue recognition, income taxes, inventory and long-lived assets.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 including the impact of Covid-19 and any deterioration in the global business and economic environment.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variable interests in certain Philippine realty corporations in which we have a 40% ownership. We lease land and buildings in the Philippines from these entities and we are the primary beneficiary of these arrangements. As of December 31, 2022, the combined book value of the assets and liabilities associated with these Philippine realty corporations included in our Consolidated Balance Sheet was $17.2 million and $0.1 million, respectively. The impact of consolidating these variable interest entities on our Consolidated Statements of Income was not significant, and other than our lease payments, we have not provided any significant assistance or other financial support to these variable interest entities for the years ended December 31, 2022, 2021 or 2020. The creditors of the Philippine realty corporations have no recourse to our general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our subsidiaries other than our Japan operations.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Japanese yen is the functional currency of our Japan operations. The asset and liability amounts of our Japan operations are translated into U.S. dollars at end-of-period exchange rates. Income and expenses are translated into U.S. dollars at the daily exchange rate. The resulting translation adjustments are reported as a component of accumulated other comprehensive income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(income) expense, net in the period in which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Concentrations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significant portion of our revenues is concentrated with a small group of customers (Note 18). Direct sales to our two largest customers accounted for 20.6% and 10.1% of our net sales for the year ended December 31, 2022.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Financial instruments, for which we are subject to credit risk, consist principally of accounts receivable and cash, cash equivalents and short-term investments. With respect to accounts receivable, we mitigate our credit risk by selling primarily to well-established companies, performing ongoing credit evaluations and making frequent contact with customers. In addition, we may utilize non-recourse factoring to mitigate credit risk when considered appropriate. We have historically mitigated our credit risk with respect to cash and cash equivalents through diversification of our holdings into various high quality money market funds and bank deposit accounts. Our short-term investments are principally investments in debt securities with maximum duration of twenty-four months and range from AAA- to BBB-rated financial instruments. Our short-term investments are primarily in direct obligations of the U.S. Government or its agencies, corporate bonds, asset backed securities, commercial paper, municipal bonds, and other foreign government obligations and funds. At December 31, 2022, our cash and cash equivalents were primarily maintained in various U.S. and foreign bank operating and time deposit accounts and invested in U.S. money market funds and commercial paper.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subject to certain legal proceedings, lawsuits and other claims, as discussed in Note 17.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a maturity of three months or less when purchased to be cash equivalents. Our cash and cash equivalents are primarily maintained in various U.S. and foreign bank operating and time deposit accounts and invested in U.S. money market funds and commercial paper.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current, consists of short-term cash equivalents used to collateralize our daily banking services. Restricted cash, non-current, mainly consists of collateral to fulfill foreign trade compliance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we classify our short-term investments in fixed income securities as available-for-sale debt investments. All of our available-for-sale debt investments as of December 31, 2022 are available to fund current operations and are recorded at fair value (Note 6).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on an ongoing basis the market conditions, trends of earnings, financial condition, credit ratings, any underlying collateral and other key measures for our short-term investments in determining if and when a decline in value below the adjusted cost of our available-for-sale debt investments is an impairment. An impairment is considered if (i) we have the intent to sell the security, (ii) it is more likely than not that we will be required to sell the security before recovery of the entire amortized cost basis or (iii) we do not expect to recover the entire amortized cost basis of the security. If impairment is considered on condition (i) or (ii) above, the entire difference between the amortized cost and the fair value of the debt security is recognized in earnings. If impairment is considered based on condition (iii), the amount representing credit losses will be recognized in earnings and as an allowance for credit losses. The amount relating to all other factors will be recognized in other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We review and set our standard costs as needed, but at a minimum on a quarterly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principally of prepaid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is calculated by the straight-line method over the estimated useful lives of depreciable assets which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9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10 to 40 years</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9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2 to 7 years</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49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49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4 to 10 years</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accumulated depreciation for property retired or disposed of are removed from the accounts, and any resulting gain or loss is included in earnings.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Leases with an initial term of 12 months or less are not recorded on the balance sheet, and we recognize lease expense for these leases on a straight-line basis over the lease term. We combine lease components (e.g., fixed payments including rent, real estate taxes and insurance costs) with the non-lease components (e.g., common-area maintenance costs) for all asset classes. We use our incremental borrowing rate based on the information available at the lease commencement date to determine the lease liability. Our leases have remaining lease terms ranging from less than one year to 83 years. For purposes of calculating our lease liabilities, our lease terms include options to extend or terminate the lease when it is reasonably certain that we will exercise those options. Certain leases also include options to purchase the leased property.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 The balance of goodwill in our Consolidated Balance Sheets reflects adjustments for foreign currency translation.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principally of deferred tax assets, refundable security deposits and advanced payments to vendors.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foreign exchange forward contracts, generally settled monthly, to manage a portion of our exposure to foreign exchange risk. The derivatives are recorded at the fair value either in other current assets or accrued expenses, with the associated gains and losses charged to other (income) expense, net in the period in which they occur. We do not apply hedge accounting to the derivatives. See Note 15 for further discussion about the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16 for further discussion of fair value measurements.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receivables are revenues that have been recognized for performance obligations that have been satisfied, or partially satisfied, in advance of billing the customer. Revenue may be recognized in advance of billing as our contracts provide us with an unconditional right to consideration for work that is performed. Total unbilled receivables as of December 31, 2022 and 2021 were $301.7 million and $224.7 million, respectively. These amounts are included in accounts receivable, net of allowances in our Consolidated Balance Sheets.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times, the company receives cash payments from customers in advance of the company’s performance. In such cases, we record deferred revenue until the performance obligation is satisfied, which represents a contract liability and is included in accrued expenses and other non-current liabilities in the consolidated balance sheets. These contract liabilities are classified as either current or long-term based on the timing of when the company expects to recognize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Contract liabilities were $170.6 million and $187.2 million as of December 31, 2022 and December 31, 2021, respectively. As of December 31, 2022 and December 31, 2021, the short-term portion of the liability was $81.5 million and $117.7 million, respectively. The remainder of the December 31, 2022 contract liability balance is expected to be recognized in revenue over the next 1-5 years. Revenue recognized during the year that was included in the contract liability balance at the beginning of the period was $101.2 million, $29.0 million, and $14.1 million, for 2022, 2021 and 2020,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labor, materials, supplies, depreciation and maintenance of research equipment, services provided by outside contractors and the allocable portions of facility costs such as rent, utilities, insurance, repairs and maintenance, depreciation and general support services. Costs associated with research and development are expensed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carryforwards (“NOLs”)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 With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 See Note 4 for further discussion regarding unrecognized income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Share-Based Compensation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2021 and 2020, we recognized share-based compensation of $13.6 million, $11.0 million and $8.0 million, respectively, primarily in selling, general and administrative expenses. The amount of compensation expense to be recognized is adjusted for an estimated forfeiture rate which is based on historical data. The corresponding deferred income tax benefits are $1.7 million, $1.4 million and $1.3 million for 2022, 2021 and 2020,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Second Amended and Restated 2007 Equity Incentive Plan. </w:t>
      </w:r>
      <w:r>
        <w:rPr>
          <w:rFonts w:ascii="Times New Roman" w:cs="Times New Roman" w:eastAsia="Times New Roman" w:hAnsi="Times New Roman"/>
          <w:sz w:val="18"/>
          <w:szCs w:val="18"/>
          <w:color w:val="auto"/>
        </w:rPr>
        <w:t>The Second Amended and Restated 2007 Equity Incentive Plan (as amended, the “2007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the grant of the following types of incentive awards: (i) stock options; (ii) restricted stock; (iii) restricted stock units; (iv) stock appreciation rights; (v) performance units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and (vi) other stock or cash awards. Those eligible for awards included employees, directors and consultants who provide services to Amkor and its subsidiaries. There were originally 17.0 million shares of our common stock reserved for issuance under the 2007 Plan. No awards have been or will be granted under the 2007 Plan after the effective date of the 2021 Plan (as defined below), but all outstanding awards under the 2007 Plan will continue in full force and effect, subject to their original terms.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2021 Equity Incentive Plan. </w:t>
      </w:r>
      <w:r>
        <w:rPr>
          <w:rFonts w:ascii="Times New Roman" w:cs="Times New Roman" w:eastAsia="Times New Roman" w:hAnsi="Times New Roman"/>
          <w:sz w:val="18"/>
          <w:szCs w:val="18"/>
          <w:color w:val="auto"/>
        </w:rPr>
        <w:t>On May 18, 2021, at our 2021 Annual Meeting of Stockholders (the “2021 Annual Meeting”), our stockholders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Amkor Technology, Inc. 2021 Equity Incentive Plan (as amended, the “2021 Plan”) to replace the 2007 Plan. The 2021 Plan provides for the grant of the following types of incentive awards: (i) stock options; (ii) restricted stock; (iii) restricted stock units; (iv) stock appreciation rights; (v) performance units and performance shares; and (vi) other stock or cash awards. Those eligible for awards include employees, directors and consultants who provide services to Amkor and its subsidiaries. The number of shares authorized and available for issuance under the 2021 Plan is 23,100,000 shares, reduced for certain awards granted under the 2007 Plan after December 31, 2020, but before May 18, 2021. There were originally 22.8 million shares of our common stock reserved for issuance under the 2021 Plan, and at December 31, 2022, there were 21.9 million shares available for grant under the 2021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 evaluations of historical and expected future employee exercise behavior and represents the period of time that options granted are expected to be outstanding. The risk-free interest rate for periods within the contractual life of the option is based on the U.S. Treasury yield curve in effect at the time of grant. The dividend yield is based on the annualized declared quarterly dividend rate divided by our closing stock price at the date of the grant.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year ended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37"/>
        </w:trPr>
        <w:tc>
          <w:tcPr>
            <w:tcW w:w="4440" w:type="dxa"/>
            <w:vAlign w:val="bottom"/>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1"/>
                <w:szCs w:val="11"/>
                <w:color w:val="auto"/>
              </w:rPr>
            </w:pPr>
          </w:p>
        </w:tc>
        <w:tc>
          <w:tcPr>
            <w:tcW w:w="1300" w:type="dxa"/>
            <w:vAlign w:val="bottom"/>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4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5.86 years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Fully vested at December 31, 2022 and expected to vest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color w:val="auto"/>
              </w:rPr>
              <w:t>5.85 years</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0" w:type="dxa"/>
            <w:vAlign w:val="bottom"/>
          </w:tcPr>
          <w:p>
            <w:pPr>
              <w:spacing w:after="0"/>
              <w:rPr>
                <w:sz w:val="1"/>
                <w:szCs w:val="1"/>
                <w:color w:val="auto"/>
              </w:rPr>
            </w:pPr>
          </w:p>
        </w:tc>
      </w:tr>
      <w:tr>
        <w:trPr>
          <w:trHeight w:val="216"/>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5.66 years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weighted-average fair values of the options granted: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4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option granted</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unrecognized compensation expense from stock options was $1.2 million as of December 31, 2022, which is expected to be recognized over a weighted-average period of approximately 0.9 years beginning January 1, 2023. The total intrinsic value of options exercised during fiscal years 2022, 2021, and 2020 was $8.0 million, $17.7 million, and $8.2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Restricted shares granted to our non-employee directors vest on the earlier of the one year anniversary of the grant date or the date of the annual meeting of stockholders immediately following the grant date, subject to the recipient’s continued service as a director of Amkor on the applicable vesting date. Generally, other restricted shares vest ratably over three years, with 8.33% of the shares vesting in equal quarterly installments such that 100% of the shares will become vested on the third anniversary of the award, subject to the recipient’s continued employment with us on the applicable vesting date. In addition, provided that the restricted shares have not been forfeited earlier, under the terms and conditions of the applicable award agreements for certain grants, the restricted shares will vest upon the recipient’s death or disability, or upon a change in control of Amkor. The value of the restricted shares is determined based on the fair market value of the underlying shares on the date of the grant and is recognized ratably over the vesting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restricted share activity for the year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37"/>
        </w:trPr>
        <w:tc>
          <w:tcPr>
            <w:tcW w:w="810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unrecognized compensation expense from restricted shares was $1.3 million as of December 31, 2022, which is expected to be recognized over a weighted-average period of approximately 0.6 years beginning January 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and pursuant to the 2021 Plan, we grant time-vested restricted stock units (“RSUs”) to our non-employee directors and certain employees and performance-vested restricted stock units (“PSUs”) to certain employees. RSUs generally vest in four equal installments over a four-year period such that 100% of the RSUs will become vested on the fourth anniversary of the award, subject to the recipient’s continued employment with us on the applicable vesting dates. In addition, provided that the RSUs have not been forfeited earlier, they will generally vest upon the recipient’s retirement, death or disability, or upon a change in control of Amkor, in accordance with the terms and conditions of the applicable award agreement. The value of the RSUs is determined based on the fair market value of the underlying shares on the date of the grant, reduced by the present value of dividends or dividend equivalent rights expected to be paid on our common stock prior to vesting, and is recognized ratably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PSUs generally vest in one installment after a two-year period such that any earned PSUs will become vested within 90 days of the second anniversary of the award, subject to the recipient’s continued employment with us on the applicable vesting date. Generally for PSUs, the number of shares of our common stock to be received at vesting will range from 0% to 200% of the target grant amount based on Cumulative Basic EPS (as defined in the applicable award agreement) over a two-year performance measurement period. In addition, provided the PSUs have not been forfeited earlier, the PSUs will generally vest upon the recipient’s retirement, death or disability, or upon a change of control of Amkor, in accordance with the terms and conditions of the applicable award agreement. The value of the PSUs is initially determined based on the fair market value of the underlying shares on the date of the grant, reduced by the present value of dividends expected to be paid on our common stock prior to vesting, and is recognized over the vesting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RSU and PSU activity for the year ended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37"/>
        </w:trPr>
        <w:tc>
          <w:tcPr>
            <w:tcW w:w="810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5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unrecognized compensation expense from RSUs and PSUs was $6.4 million as of December 31, 2022, which is expected to be recognized over a weighted-average period of approximately 1.6 years beginning January 1, 2023.</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retirement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4.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Geographic sources of income (loss) before taxes are as follows: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6"/>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347,963</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386,682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20" w:type="dxa"/>
            <w:vAlign w:val="bottom"/>
            <w:gridSpan w:val="9"/>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40,063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229"/>
        </w:trPr>
        <w:tc>
          <w:tcPr>
            <w:tcW w:w="6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61,300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38,298</w:t>
            </w:r>
          </w:p>
        </w:tc>
      </w:tr>
      <w:tr>
        <w:trPr>
          <w:trHeight w:val="223"/>
        </w:trPr>
        <w:tc>
          <w:tcPr>
            <w:tcW w:w="6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101,513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w:t>
            </w:r>
          </w:p>
        </w:tc>
      </w:tr>
      <w:tr>
        <w:trPr>
          <w:trHeight w:val="21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w:t>
            </w:r>
          </w:p>
        </w:tc>
      </w:tr>
      <w:tr>
        <w:trPr>
          <w:trHeight w:val="229"/>
        </w:trPr>
        <w:tc>
          <w:tcPr>
            <w:tcW w:w="6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6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23"/>
        </w:trPr>
        <w:tc>
          <w:tcPr>
            <w:tcW w:w="6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10,676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4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69,459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reconciliation between the U.S. federal statutory income tax rate of 21% and our effective tax rate is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1"/>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10"/>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0" w:type="dxa"/>
            <w:vAlign w:val="bottom"/>
          </w:tcPr>
          <w:p>
            <w:pPr>
              <w:spacing w:after="0"/>
              <w:rPr>
                <w:sz w:val="24"/>
                <w:szCs w:val="24"/>
                <w:color w:val="auto"/>
              </w:rPr>
            </w:pPr>
          </w:p>
        </w:tc>
      </w:tr>
      <w:tr>
        <w:trPr>
          <w:trHeight w:val="23"/>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 (1)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 (1)</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24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credits generated</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earnings and profits</w:t>
            </w: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 and changes in uncertain tax positions</w:t>
            </w:r>
          </w:p>
        </w:tc>
        <w:tc>
          <w:tcPr>
            <w:tcW w:w="24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720" w:hanging="388"/>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amounts were reclassified and presented to conform with current year presentation.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we reversed $17.8 million of valuation allowance recorded against U.S. foreign tax credit carryforwards previously projected to expire unused due to the limitations to utilize the credits under current tax law. In 2020, we reversed $12.4 million of valuation allowance recorded against our interest expense carryforward previously projected to expire unused due to the limitation to deduct interest expense under current tax law. Realization of these carryforwards is dependent on generating sufficient taxable income to overcome the foreign tax credit and interest limitation provisions, respectively. Although utilization of these carryforwards is not assured, in light of our current earnings and recent estimates of future taxable income, management believes sufficient positive evidence exists to conclude that the respective valuation allowances are no longer needed, resulting in the reversal of these valuation allowances.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certain capital investments, export commitments and employment levels, income from operations in Korea, the Philippines and Singapore was subject to reduced income tax rates and, in some cases, was exempt from income taxes. The most significant tax rate impact is in Singapore where we have been granted a conditional reduced tax rate that expires at the end of 2023, excluding potential renewal subject to certain conditions and commitments. We recognized $84.5 million, $56.7 million and $27.6 million in tax benefits as a result of the conditional reduced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2021 and 2020, respectively. The benefit of the conditional reduced tax rates on diluted earnings per share was approximately $0.34, $0.23 and $0.11 for 2022, 2021 and 2020,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deferred tax assets and liabilities: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NOLs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credits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93,257</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30,996</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Recognition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285,973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(122,357)</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175,982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163,616</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Recognized as: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83,596</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against deferred tax assets consist of the following: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Foreign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valuation allowance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NOLs are as follows: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21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40,610</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61,074</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61,259</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61,283</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122,357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4"/>
        </w:trPr>
        <w:tc>
          <w:tcPr>
            <w:tcW w:w="21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16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-1440180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-1148715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760" w:space="720"/>
            <w:col w:w="47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NOLs</w:t>
            </w:r>
          </w:p>
        </w:tc>
        <w:tc>
          <w:tcPr>
            <w:tcW w:w="3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13,003</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21,388</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2023-2024</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NOLs</w:t>
            </w:r>
          </w:p>
        </w:tc>
        <w:tc>
          <w:tcPr>
            <w:tcW w:w="30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38,384</w:t>
            </w:r>
          </w:p>
        </w:tc>
        <w:tc>
          <w:tcPr>
            <w:tcW w:w="560" w:type="dxa"/>
            <w:vAlign w:val="bottom"/>
          </w:tcPr>
          <w:p>
            <w:pPr>
              <w:spacing w:after="0"/>
              <w:rPr>
                <w:sz w:val="19"/>
                <w:szCs w:val="19"/>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55,694</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2023-2036</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NOLs</w:t>
            </w:r>
          </w:p>
        </w:tc>
        <w:tc>
          <w:tcPr>
            <w:tcW w:w="3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240,740</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155,323</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2024-2036</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and 2021, a portion of our remaining U.S. federal NOL was reserved with a valuation allowance due to ownership change limitations from a prior year acquisition as well as certain state NOLs expected to expire unused. Also, we have a valuation allowance against a foreign NOL that we do not expect to have sufficient taxable income to realize as of December 31, 2022 and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 credit carryforwards are as follows: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Foreign Tax Credits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54,130</w:t>
            </w:r>
          </w:p>
        </w:tc>
        <w:tc>
          <w:tcPr>
            <w:tcW w:w="10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57,247</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2026-2032</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Other Tax Credits</w:t>
            </w:r>
          </w:p>
        </w:tc>
        <w:tc>
          <w:tcPr>
            <w:tcW w:w="94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110</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38,128</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2023-2032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and 2021, a portion of our U.S. and foreign tax credit carryforwards were reserved with a valuation allowance for the amount expected to expire unused.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of cash to the U.S. as dividends generally will not be subject to U.S. federal income tax.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For the year ended December 31, 2022, we estimate that repatriation of these foreign earnings would generate withholding taxes and state income taxes of approximately $131.3 million.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and file income tax returns in various U.S. and foreign jurisdictions which are subject to examination by tax authorities. We have tax returns that are open to examination in various jurisdictions for tax years 2012-2022.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In certain circumstances where we elect to appeal the results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examination, we may be required to make tax assessment payments to proceed with the administrative appeal process. Current examinations include 2015-2020 Malaysia income tax returns and 2021 Philippine income tax return.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37,293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26,242</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Reductions related to settlements with tax authorities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Reductions from lapse of statutes of limitations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net decrease in our unrecognized tax benefits was $4.0 million from December 31, 2021 to December 31, 2022. The decrease was primarily related to income attribution, settlements and the lapse of statutes of limitations. At December 31, 2022, all of our gross unrecognized tax benefits would reduce our effective tax rate, if recognized. It is reasonably possible that unrecognized tax benefits related to income attribution will decrease in the next 12 months by up to $1.9 million due to the lapse of statutes of limitations in foreign jurisdictions.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related to our unrecognized tax benefits, before interest and penalties, is $24.7 million as of December 31, 2022 and is reported as a component of other non-current liabilities. The unrecognized tax benefits presented in the table above also include positions that have reduced deferred tax assets by $8.6 million. The balance of accrued and unpaid interest and penalties is $4.9 million and $5.5 million as of December 31, 2022 and 2021, respectively, and is included as a component of other non-current liabilities in connection with our unrecognized tax benefits.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PSUs, RSUs and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EPS: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gridSpan w:val="6"/>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60" w:type="dxa"/>
            <w:vAlign w:val="bottom"/>
          </w:tcPr>
          <w:p>
            <w:pPr>
              <w:spacing w:after="0"/>
              <w:rPr>
                <w:sz w:val="17"/>
                <w:szCs w:val="17"/>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338,138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241,509</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3"/>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246,205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245,704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242,248</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7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6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7"/>
                <w:szCs w:val="17"/>
                <w:color w:val="auto"/>
              </w:rPr>
            </w:pPr>
          </w:p>
        </w:tc>
      </w:tr>
      <w:tr>
        <w:trPr>
          <w:trHeight w:val="236"/>
        </w:trPr>
        <w:tc>
          <w:tcPr>
            <w:tcW w:w="7520" w:type="dxa"/>
            <w:vAlign w:val="bottom"/>
            <w:gridSpan w:val="2"/>
            <w:shd w:val="clear" w:color="auto" w:fill="CCEEFF"/>
          </w:tcPr>
          <w:p>
            <w:pPr>
              <w:jc w:val="right"/>
              <w:ind w:right="5988"/>
              <w:spacing w:after="0"/>
              <w:rPr>
                <w:sz w:val="20"/>
                <w:szCs w:val="20"/>
                <w:color w:val="auto"/>
              </w:rPr>
            </w:pPr>
            <w:r>
              <w:rPr>
                <w:rFonts w:ascii="Times New Roman" w:cs="Times New Roman" w:eastAsia="Times New Roman" w:hAnsi="Times New Roman"/>
                <w:sz w:val="18"/>
                <w:szCs w:val="18"/>
                <w:color w:val="auto"/>
              </w:rPr>
              <w:t>Share-based awards</w:t>
            </w:r>
          </w:p>
        </w:tc>
        <w:tc>
          <w:tcPr>
            <w:tcW w:w="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180</w:t>
            </w:r>
          </w:p>
        </w:tc>
        <w:tc>
          <w:tcPr>
            <w:tcW w:w="17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12"/>
        </w:trPr>
        <w:tc>
          <w:tcPr>
            <w:tcW w:w="35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5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2"/>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195,530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197,346</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253,544</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340,656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8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231,796</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242,711</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6"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2022, 2021, and 2020 we sold cash equivalent investments for proceeds of $29.6 million, $12.8 million and $27.1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6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64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68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415,498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414,313</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58,808</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474,794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473,121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amortized cost and fair market value of our held-to-maturity government bonds (Level 1) maturing within a year were $4.4 million and $4.3 million, respectively. As of December 31, 2021 the amortized cost and fair market value of our held-to-maturity government bonds (Level 1) maturing within a year were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7. Factoring of Accounts Receivable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years ended December 31, 2022 and 2021, we sold accounts receivable totaling $386.5 million and $464.4 million, net of discounts and fees of $1.1 million and $1.2 million, respectively.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214,763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1,817,135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1,711,560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6,757,652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6,277,684</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74,662</w:t>
            </w:r>
          </w:p>
        </w:tc>
        <w:tc>
          <w:tcPr>
            <w:tcW w:w="0" w:type="dxa"/>
            <w:vAlign w:val="bottom"/>
          </w:tcPr>
          <w:p>
            <w:pPr>
              <w:spacing w:after="0"/>
              <w:rPr>
                <w:sz w:val="1"/>
                <w:szCs w:val="1"/>
                <w:color w:val="auto"/>
              </w:rPr>
            </w:pPr>
          </w:p>
        </w:tc>
      </w:tr>
      <w:tr>
        <w:trPr>
          <w:trHeight w:val="22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9,371,331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8,641,716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(6,235,717)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(5,770,658)</w:t>
            </w:r>
          </w:p>
        </w:tc>
        <w:tc>
          <w:tcPr>
            <w:tcW w:w="0" w:type="dxa"/>
            <w:vAlign w:val="bottom"/>
          </w:tcPr>
          <w:p>
            <w:pPr>
              <w:spacing w:after="0"/>
              <w:rPr>
                <w:sz w:val="1"/>
                <w:szCs w:val="1"/>
                <w:color w:val="auto"/>
              </w:rPr>
            </w:pPr>
          </w:p>
        </w:tc>
      </w:tr>
      <w:tr>
        <w:trPr>
          <w:trHeight w:val="22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3,135,614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2,871,058</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5"/>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3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612,105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2022, we began construction of a new manufacturing facility in Bac Ninh, Vietnam and incurred costs of $79.6 million, including capitalized interest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52,882</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r>
      <w:tr>
        <w:trPr>
          <w:trHeight w:val="230"/>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2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lease cost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122,286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95,539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72,884</w:t>
            </w:r>
          </w:p>
        </w:tc>
      </w:tr>
      <w:tr>
        <w:trPr>
          <w:trHeight w:val="20"/>
        </w:trPr>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20" w:type="dxa"/>
            <w:vAlign w:val="bottom"/>
          </w:tcPr>
          <w:p>
            <w:pPr>
              <w:spacing w:after="0"/>
              <w:rPr>
                <w:sz w:val="16"/>
                <w:szCs w:val="16"/>
                <w:color w:val="auto"/>
              </w:rPr>
            </w:pPr>
          </w:p>
        </w:tc>
      </w:tr>
      <w:tr>
        <w:trPr>
          <w:trHeight w:val="23"/>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Flows Information (in thousands)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64,786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53,323</w:t>
            </w:r>
          </w:p>
        </w:tc>
      </w:tr>
      <w:tr>
        <w:trPr>
          <w:trHeight w:val="229"/>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20,373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9,851</w:t>
            </w:r>
          </w:p>
        </w:tc>
      </w:tr>
    </w:tbl>
    <w:p>
      <w:pPr>
        <w:spacing w:after="0" w:line="2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2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4.2</w:t>
            </w:r>
          </w:p>
        </w:tc>
        <w:tc>
          <w:tcPr>
            <w:tcW w:w="17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53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4.4 %</w:t>
            </w:r>
          </w:p>
        </w:tc>
        <w:tc>
          <w:tcPr>
            <w:tcW w:w="17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3.6 %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4.1 %</w:t>
            </w:r>
          </w:p>
        </w:tc>
        <w:tc>
          <w:tcPr>
            <w:tcW w:w="1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3.2 %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40" w:type="dxa"/>
            <w:vAlign w:val="bottom"/>
          </w:tcPr>
          <w:p>
            <w:pPr>
              <w:spacing w:after="0"/>
              <w:rPr>
                <w:sz w:val="16"/>
                <w:szCs w:val="16"/>
                <w:color w:val="auto"/>
              </w:rPr>
            </w:pPr>
          </w:p>
        </w:tc>
      </w:tr>
      <w:tr>
        <w:trPr>
          <w:trHeight w:val="23"/>
        </w:trPr>
        <w:tc>
          <w:tcPr>
            <w:tcW w:w="6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96"/>
        </w:trPr>
        <w:tc>
          <w:tcPr>
            <w:tcW w:w="6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7"/>
                <w:szCs w:val="17"/>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0" w:type="dxa"/>
            <w:vAlign w:val="bottom"/>
            <w:shd w:val="clear" w:color="auto" w:fill="CCEEFF"/>
          </w:tcPr>
          <w:p>
            <w:pPr>
              <w:jc w:val="right"/>
              <w:ind w:right="15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60,090</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42,816</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2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117,606</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w:t>
            </w:r>
          </w:p>
        </w:tc>
      </w:tr>
      <w:tr>
        <w:trPr>
          <w:trHeight w:val="248"/>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CEEFF"/>
          </w:tcPr>
          <w:p>
            <w:pPr>
              <w:jc w:val="right"/>
              <w:ind w:right="15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146,736</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have entered into additional lease agreements that have not yet commenced of approximately $14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150,883</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38,957</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 (Note 12)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65,409</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401,841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422,892</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and long-term debt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applicable bank rate plus 1.77%, due April 2023</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47,064</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1.85%, due April 2024 (1)</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applicable bank rate plus 1.98%, due December 2028</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2.12%, due December 2028 (2)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Short-term term loans, variable rate (3)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0.86%, due June 2022</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0.60%, due July 2022</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1.30%, due July 2023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79,075</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148,592</w:t>
            </w: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75,773</w:t>
            </w: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113,834</w:t>
            </w: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1.59%, due December 2027 (4)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LIBOR plus 1.10%, due March 2024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loans, LIBOR plus 0.80%, due June 2025 (5)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loans, LIBOR plus 0.75%, due 2025 (6)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(7)</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00" w:type="dxa"/>
            <w:vAlign w:val="bottom"/>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$600.0 million senior secured revolving credit facility, applicable bank rate plus 1.75%, due March</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2027 (Singapore) (8)</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1,239,772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1,146,775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(153,008)</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984,988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both"/>
        <w:ind w:left="660" w:hanging="328"/>
        <w:spacing w:after="0" w:line="281"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 billion term loan agreement with the option to borrow and re-borrow the funds up to six times per year through April 2024. Principal is payable at maturity, and interest is payable monthly. As of December 31, 2022,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$63 million, was available to be drawn.</w:t>
      </w:r>
    </w:p>
    <w:p>
      <w:pPr>
        <w:spacing w:after="0" w:line="109"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entered into a term loan agreement with availability of $200.0 million. Principal is payable in semiannual installments after a three-year grace period from the date of the first drawdown, which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Interest is payable quarterly. During the year ended December 31, 2022, we borrowed $150.0 million.</w:t>
      </w:r>
    </w:p>
    <w:p>
      <w:pPr>
        <w:spacing w:after="0" w:line="171" w:lineRule="exact"/>
        <w:rPr>
          <w:sz w:val="20"/>
          <w:szCs w:val="20"/>
          <w:color w:val="auto"/>
        </w:rPr>
      </w:pPr>
    </w:p>
    <w:p>
      <w:pPr>
        <w:ind w:left="660" w:hanging="328"/>
        <w:spacing w:after="0" w:line="282"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As of December 31, 2022, $6.8 million was available to be drawn.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2022, we borrowed ¥15.7 billion (US$115.9 million) under a new term loan agreement due December 2027, guaranteed by Amkor Technology, Inc. and our subsidiary, ATSH. Principal is due in 20 equal, quarterly installments plus accrued interest, through maturity.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borrowed $40.0 million under two $20.0 million term loans. For each term loan, principal is payable in semiannual installments of $0.5 million, with the remaining balance due at maturity. Interest is payable quarterly.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312" w:lineRule="auto"/>
        <w:tabs>
          <w:tab w:leader="none" w:pos="65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and September 2022, we borrowed $60.0 million under two $30.0 million term loans with each maturing in three years. For each term loan, principal is payable in semiannual installments of $0.5 million, with the remaining balance due at maturity. Interest is payable quarterly.</w:t>
      </w:r>
    </w:p>
    <w:p>
      <w:pPr>
        <w:spacing w:after="0" w:line="85"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ATT entered into a $56.0 million borrowing arrangement (the “ATT Loan”). This arrangement included a $20.0 million term loan and a $36.0 million revolving credit facility. In March 2022, in connection with our entry into the 2022 Singapore Revolver, the ATT Loan was amended to reduce the availability of the revolving credit facility from $36.0 million to $15.0 million. As of December 31, 2022, $15.0 million was available for future borrowings under such credit facility.</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7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ATSH entered into a $250.0 million senior secured revolving credit facility. In March 2022, this agreement was terminated and replaced with the 2022 Singapore Revolver. The 2022 Singapore Revolver is guaranteed by Amkor Technology, Inc., ATT and AATT. The maximum borrowing capacity under the 2022 Singapore Revolver is limited to a base amount equal to the lesser of: (1) $600.0 million; and (2) $250.0 million plus a variable amount equal to 37.5% of our consolidated accounts receivable balance. As of December 31, 2022, $600.0 million was available for future borrowings under the 2022 Singapore Revolver.</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December 31, 2022 the collateralized debt balance was $681.0 million, of which $376.4 million of assets were pledged as collateral.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is payable semiannually on our senior notes and quarterly or monthly on our other fixed- and variable-rate debt. Refer to the table above for the interest rates on our fixed-rate debt and to the table below for the interest rates on our variable-rate debt.</w:t>
      </w:r>
    </w:p>
    <w:p>
      <w:pPr>
        <w:spacing w:after="0" w:line="74"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9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 loan, applicable bank rate plus 1.77%, due April 2023</w:t>
            </w:r>
          </w:p>
        </w:tc>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Short-term term loans, variable rate</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0.29 %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0.29 %</w:t>
            </w: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 loan, LIBOR plus 1.10%, due March 2024</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5.83 %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29"/>
        </w:trPr>
        <w:tc>
          <w:tcPr>
            <w:tcW w:w="8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loans, LIBOR plus 0.80% due June 2025</w:t>
            </w: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5.55 %</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 loans, LIBOR plus 0.75%, due 2025</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5.48 %</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Debt Covenants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December 31, 2022 and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 Debt</w:t>
            </w:r>
          </w:p>
        </w:tc>
      </w:tr>
      <w:tr>
        <w:trPr>
          <w:trHeight w:val="2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due for the year ending December 31,</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143,813</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152,027</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201,055</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93,929</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598,948</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1,239,772</w:t>
            </w:r>
          </w:p>
        </w:tc>
      </w:tr>
      <w:tr>
        <w:trPr>
          <w:trHeight w:val="21"/>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Pension and Severance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Korean Severance Plan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that were employed prior to August 1, 2015. To the extent eligible employees are terminated, our subsidiary in Korea would be required to make lump-sum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to the balance of our accrued severance plan obligations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98,162</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of severance benefits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payments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73,345</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 remaining with the National Pension Fund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severance plan obligations at December 31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73,207</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accrued severance plan obligations (Note 10)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accrued severance plan obligations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January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200,187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222,509</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Effects of curtailment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(18,042)</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200,187</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155,211</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gain (loss) on plan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32,354</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of the Plans at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benefit cost (included in non-current assets)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439"/>
              <w:spacing w:after="0"/>
              <w:rPr>
                <w:sz w:val="20"/>
                <w:szCs w:val="20"/>
                <w:color w:val="auto"/>
              </w:rPr>
            </w:pPr>
            <w:r>
              <w:rPr>
                <w:rFonts w:ascii="Times New Roman" w:cs="Times New Roman" w:eastAsia="Times New Roman" w:hAnsi="Times New Roman"/>
                <w:sz w:val="18"/>
                <w:szCs w:val="18"/>
                <w:color w:val="auto"/>
                <w:w w:val="96"/>
              </w:rPr>
              <w:t>12,308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6"/>
              </w:rPr>
              <w:t>11,982</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benefit liability (included in pension and severance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color w:val="auto"/>
              </w:rPr>
              <w:t>(44,730)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rPr>
              <w:t>(55,157)</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 at year end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8"/>
                <w:szCs w:val="18"/>
                <w:color w:val="auto"/>
              </w:rPr>
              <w:t>(32,422)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rPr>
              <w:t>(43,175)</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as of December 31, 2022 and 2021 was $125.6 million and $151.7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by component, the change in accumulated other comprehensive income (loss), net of tax related to our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Actuarial Net Gain</w:t>
            </w:r>
          </w:p>
        </w:tc>
        <w:tc>
          <w:tcPr>
            <w:tcW w:w="30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settlement gain included in net periodic pension cost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gain (loss) arising during period</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180" w:type="dxa"/>
            <w:vAlign w:val="bottom"/>
          </w:tcPr>
          <w:p>
            <w:pPr>
              <w:ind w:left="260"/>
              <w:spacing w:after="0" w:line="164" w:lineRule="exact"/>
              <w:rPr>
                <w:sz w:val="20"/>
                <w:szCs w:val="20"/>
                <w:color w:val="auto"/>
              </w:rPr>
            </w:pPr>
            <w:r>
              <w:rPr>
                <w:rFonts w:ascii="Times New Roman" w:cs="Times New Roman" w:eastAsia="Times New Roman" w:hAnsi="Times New Roman"/>
                <w:sz w:val="18"/>
                <w:szCs w:val="18"/>
                <w:color w:val="auto"/>
              </w:rPr>
              <w:t>Adjustments to unrealized components of defined benefit pension plan included in other</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settlement gain included in net periodic pension cost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gain (loss) arising during period</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180" w:type="dxa"/>
            <w:vAlign w:val="bottom"/>
          </w:tcPr>
          <w:p>
            <w:pPr>
              <w:ind w:left="260"/>
              <w:spacing w:after="0" w:line="164" w:lineRule="exact"/>
              <w:rPr>
                <w:sz w:val="20"/>
                <w:szCs w:val="20"/>
                <w:color w:val="auto"/>
              </w:rPr>
            </w:pPr>
            <w:r>
              <w:rPr>
                <w:rFonts w:ascii="Times New Roman" w:cs="Times New Roman" w:eastAsia="Times New Roman" w:hAnsi="Times New Roman"/>
                <w:sz w:val="18"/>
                <w:szCs w:val="18"/>
                <w:color w:val="auto"/>
              </w:rPr>
              <w:t>Adjustments to unrealized components of defined benefit pension plan included in other</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Information for pension plans with benefit obligations in excess of plan assets is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underfunded or non-funded projected benefit obligation: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projected benefit obligation</w:t>
            </w:r>
          </w:p>
        </w:tc>
        <w:tc>
          <w:tcPr>
            <w:tcW w:w="16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96,310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Aggregate fair value of plan assets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51,581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with underfunded or non-funded accumulated benefit obligation:</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Aggregate accumulated benefit obligation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61,764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fair value of plan assets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20,740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pension expense: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pension cost and total pension expense:</w:t>
            </w: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29,848</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actuarial (gain) loss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29,378</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Curtailment (gain) loss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Settlement (gain) loss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pension expense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used in computing the net periodic pension cost and projected benefit obligations:</w:t>
      </w:r>
    </w:p>
    <w:p>
      <w:pPr>
        <w:spacing w:after="0" w:line="13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33655</wp:posOffset>
            </wp:positionV>
            <wp:extent cx="3197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5" w:lineRule="exact"/>
        <w:rPr>
          <w:sz w:val="20"/>
          <w:szCs w:val="20"/>
          <w:color w:val="auto"/>
        </w:rPr>
      </w:pPr>
    </w:p>
    <w:p>
      <w:pPr>
        <w:ind w:left="6860"/>
        <w:spacing w:after="0"/>
        <w:tabs>
          <w:tab w:leader="none" w:pos="8560" w:val="left"/>
          <w:tab w:leader="none" w:pos="102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61" w:lineRule="exact"/>
        <w:rPr>
          <w:sz w:val="20"/>
          <w:szCs w:val="20"/>
          <w:color w:val="auto"/>
        </w:rPr>
      </w:pPr>
    </w:p>
    <w:p>
      <w:pPr>
        <w:ind w:left="20" w:right="740"/>
        <w:spacing w:after="0" w:line="268" w:lineRule="auto"/>
        <w:rPr>
          <w:sz w:val="20"/>
          <w:szCs w:val="20"/>
          <w:color w:val="auto"/>
        </w:rPr>
      </w:pPr>
      <w:r>
        <w:rPr>
          <w:rFonts w:ascii="Times New Roman" w:cs="Times New Roman" w:eastAsia="Times New Roman" w:hAnsi="Times New Roman"/>
          <w:sz w:val="18"/>
          <w:szCs w:val="18"/>
          <w:color w:val="auto"/>
        </w:rPr>
        <w:t>Discount rate for determining net periodic pension cost Discount rate for determining benefit obligations at December 31</w:t>
      </w:r>
    </w:p>
    <w:p>
      <w:pPr>
        <w:spacing w:after="0" w:line="2" w:lineRule="exact"/>
        <w:rPr>
          <w:sz w:val="20"/>
          <w:szCs w:val="20"/>
          <w:color w:val="auto"/>
        </w:rPr>
      </w:pPr>
    </w:p>
    <w:p>
      <w:pPr>
        <w:ind w:left="20" w:right="1180"/>
        <w:spacing w:after="0" w:line="234" w:lineRule="auto"/>
        <w:rPr>
          <w:sz w:val="20"/>
          <w:szCs w:val="20"/>
          <w:color w:val="auto"/>
        </w:rPr>
      </w:pPr>
      <w:r>
        <w:rPr>
          <w:rFonts w:ascii="Times New Roman" w:cs="Times New Roman" w:eastAsia="Times New Roman" w:hAnsi="Times New Roman"/>
          <w:sz w:val="18"/>
          <w:szCs w:val="18"/>
          <w:color w:val="auto"/>
        </w:rPr>
        <w:t>Rate of compensation increase for determining net periodic pension cost</w:t>
      </w:r>
    </w:p>
    <w:p>
      <w:pPr>
        <w:spacing w:after="0" w:line="10" w:lineRule="exact"/>
        <w:rPr>
          <w:sz w:val="20"/>
          <w:szCs w:val="20"/>
          <w:color w:val="auto"/>
        </w:rPr>
      </w:pPr>
    </w:p>
    <w:p>
      <w:pPr>
        <w:ind w:left="20" w:right="700"/>
        <w:spacing w:after="0" w:line="237" w:lineRule="auto"/>
        <w:rPr>
          <w:sz w:val="20"/>
          <w:szCs w:val="20"/>
          <w:color w:val="auto"/>
        </w:rPr>
      </w:pPr>
      <w:r>
        <w:rPr>
          <w:rFonts w:ascii="Times New Roman" w:cs="Times New Roman" w:eastAsia="Times New Roman" w:hAnsi="Times New Roman"/>
          <w:sz w:val="18"/>
          <w:szCs w:val="18"/>
          <w:color w:val="auto"/>
        </w:rPr>
        <w:t>Rate of compensation increase for determining benefit obligations at December 31</w:t>
      </w:r>
    </w:p>
    <w:p>
      <w:pPr>
        <w:spacing w:after="0" w:line="10" w:lineRule="exact"/>
        <w:rPr>
          <w:sz w:val="20"/>
          <w:szCs w:val="20"/>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Expected rate of return on plan assets for determining net periodic pension cost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4"/>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419"/>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418"/>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418"/>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-796290</wp:posOffset>
            </wp:positionV>
            <wp:extent cx="7132320" cy="265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-264795</wp:posOffset>
            </wp:positionV>
            <wp:extent cx="7132320"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480" w:space="720"/>
            <w:col w:w="5040"/>
          </w:cols>
          <w:pgMar w:left="320" w:top="11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w:t>
      </w:r>
    </w:p>
    <w:p>
      <w:pPr>
        <w:spacing w:after="0" w:line="86"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Allocation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9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Debt</w:t>
            </w: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2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 defined benefit plan</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Korea defined benefit plan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 defined benefit plan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pension plan assets, by asset category utilizing the fair value hierarchy as discussed in Note 16,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3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bonds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r>
      <w:tr>
        <w:trPr>
          <w:trHeight w:val="23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notes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and commingled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41,889</w:t>
            </w:r>
          </w:p>
        </w:tc>
      </w:tr>
      <w:tr>
        <w:trPr>
          <w:trHeight w:val="22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27,933</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investment contracts</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37,458</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 retirement fund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pension plan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157,012</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approximately $12 million during 2023. We closely monitor the funded status of the Plans with respect to legislative requirements. We intend to make at least the minimum contribution required by law each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benefit payments related to our foreign defined benefit plans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17,008</w:t>
            </w:r>
          </w:p>
        </w:tc>
      </w:tr>
      <w:tr>
        <w:trPr>
          <w:trHeight w:val="234"/>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to 2032</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sponsor defined contribution plans in Korea, Malaysia, Taiwan and the U.S. Total defined contribution expense was $24.2 million, $21.8 million and $16.5 million for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Dividends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October 2020, our Board of Directors approved the initiation of a regular quarterly cash dividend on our common stock. Each quarter since the adoption of this dividend policy, the Company has declared and paid a quarterly dividend. In November 2022, our Board of Directors approved a quarterly dividend of $0.075 per share, a 50% increase from the rate set in November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accumulated other comprehensive income (loss), net of tax:</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Unrealized Gain</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(Losses) on Available-</w:t>
      </w:r>
    </w:p>
    <w:tbl>
      <w:tblPr>
        <w:tblLayout w:type="fixed"/>
        <w:tblInd w:w="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08"/>
        <w:spacing w:after="0"/>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18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our foreign exchange forward contracts consisted of the following:</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7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w:t>
            </w:r>
          </w:p>
        </w:tc>
        <w:tc>
          <w:tcPr>
            <w:tcW w:w="1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w:t>
            </w:r>
          </w:p>
        </w:tc>
        <w:tc>
          <w:tcPr>
            <w:tcW w:w="1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20" w:type="dxa"/>
            <w:vAlign w:val="bottom"/>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Korean won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 peso</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Taiwan dollar</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forward contracts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the derivatives resulted in a net loss of $60.2 million and $58.8 million respectively, which were offset by the foreign currency gains associated with the underlying net assets or liabilities. For the year ended December 31, 2020, the derivatives resulted in a net gain of $35.9 million, which was offset by the foreign currency losses associated with the underlying net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measure the fair value of our debt for disclosure purposes. The following table presents the fair value of our debt: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notes (Level 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Revolving credit facilities and term loans (Level 2)</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financial instruments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00" w:type="dxa"/>
            <w:vAlign w:val="bottom"/>
          </w:tcPr>
          <w:p>
            <w:pPr>
              <w:spacing w:after="0"/>
              <w:rPr>
                <w:sz w:val="16"/>
                <w:szCs w:val="16"/>
                <w:color w:val="auto"/>
              </w:rPr>
            </w:pPr>
          </w:p>
        </w:tc>
        <w:tc>
          <w:tcPr>
            <w:tcW w:w="264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8"/>
        </w:trPr>
        <w:tc>
          <w:tcPr>
            <w:tcW w:w="360" w:type="dxa"/>
            <w:vAlign w:val="bottom"/>
          </w:tcPr>
          <w:p>
            <w:pPr>
              <w:spacing w:after="0"/>
              <w:rPr>
                <w:sz w:val="11"/>
                <w:szCs w:val="11"/>
                <w:color w:val="auto"/>
              </w:rPr>
            </w:pPr>
          </w:p>
        </w:tc>
        <w:tc>
          <w:tcPr>
            <w:tcW w:w="126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1"/>
                <w:szCs w:val="11"/>
                <w:color w:val="auto"/>
              </w:rPr>
            </w:pPr>
          </w:p>
        </w:tc>
        <w:tc>
          <w:tcPr>
            <w:tcW w:w="132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1"/>
                <w:szCs w:val="11"/>
                <w:color w:val="auto"/>
              </w:rPr>
            </w:pPr>
          </w:p>
        </w:tc>
        <w:tc>
          <w:tcPr>
            <w:tcW w:w="1120" w:type="dxa"/>
            <w:vAlign w:val="bottom"/>
            <w:gridSpan w:val="2"/>
          </w:tcPr>
          <w:p>
            <w:pPr>
              <w:jc w:val="center"/>
              <w:ind w:right="580"/>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1"/>
                <w:szCs w:val="11"/>
                <w:color w:val="auto"/>
              </w:rPr>
            </w:pPr>
          </w:p>
        </w:tc>
        <w:tc>
          <w:tcPr>
            <w:tcW w:w="1220" w:type="dxa"/>
            <w:vAlign w:val="bottom"/>
          </w:tcPr>
          <w:p>
            <w:pPr>
              <w:jc w:val="right"/>
              <w:ind w:right="397"/>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r>
      <w:tr>
        <w:trPr>
          <w:trHeight w:val="196"/>
        </w:trPr>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0"/>
        </w:trPr>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7"/>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523,016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521,114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555,655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520,436</w:t>
            </w:r>
          </w:p>
        </w:tc>
      </w:tr>
      <w:tr>
        <w:trPr>
          <w:trHeight w:val="234"/>
        </w:trPr>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686,728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711,220</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627,883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617,560</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1,232,334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1,183,538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1,137,996</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-479425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-187960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117" w:right="339" w:bottom="1440" w:gutter="0" w:footer="0" w:header="0"/>
          <w:type w:val="continuous"/>
        </w:sectPr>
      </w:pP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Segments, Customer Concentrations and Geographic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spacing w:after="0" w:line="12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under a functionally-based organizational structure with the head of each function reporting directly to the CODM;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 performance, including incentive compensation, based on consolidated operating performance and financial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CODM allocates resources and makes other operating decisions based on specific customer business opportunities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integrated process for the design, development and manufacturing services we provide to all of our customers. We also have centralized sales and administrative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product group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4,409,207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3,604,365</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1,729,122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1,446,224</w:t>
            </w: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6,138,329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5,050,589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r>
        <w:rPr>
          <w:rFonts w:ascii="Times New Roman" w:cs="Times New Roman" w:eastAsia="Times New Roman" w:hAnsi="Times New Roman"/>
          <w:sz w:val="18"/>
          <w:szCs w:val="18"/>
          <w:b w:val="1"/>
          <w:bCs w:val="1"/>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10"/>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 (smartphones, tablets)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 by region based on customer headquarters location consist of the following:</w:t>
            </w: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gridSpan w:val="9"/>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1,084,853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1,061,369</w:t>
            </w:r>
          </w:p>
        </w:tc>
        <w:tc>
          <w:tcPr>
            <w:tcW w:w="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848,301</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1,132,121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1,253,717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1,152,641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 (excluding Japan)</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1,017,246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999,591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672,563</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foreign countries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3,234,220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3,314,677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2,673,505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3,857,365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2,823,652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2,377,084</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7,091,585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6,138,329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5,050,589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2022, two customers accounted for 20.6% and 10.1% of total net sales, respectively. In 2021 and 2020, one customer accounted for 13.7% and 14.5% of total net sales,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based on physical location,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476,945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431,862</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147,253</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1,719,842</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189,478</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264,540</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foreign countries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foreign countries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3,129,642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2,866,411</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3,135,614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2,871,058</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Restructuring and Other Exit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ongoing efforts to improve our manufacturing operations and manage costs, we regularly evaluate our staffing levels and facility requirements compared to business needs. The following table summarizes our exit activities associated with these efforts. “Charges” represents the initial charge related to the exit activity. “Cash Payments” consists of the utilization of “Charges.” “Non-cash Amounts” consists of asset impairment and translation adjustments.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 Consolidation Activities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year ended December 31, 2021, we recorded restructuring charges of $2.9 million associated with our Japan factory consolidation efforts. We recorded these charges to selling, general and administrative expenses within the Consolidated Statements of Income. We completed these restructuring actions in the second quarter of 2021.</w:t>
      </w:r>
    </w:p>
    <w:tbl>
      <w:tblPr>
        <w:tblLayout w:type="fixed"/>
        <w:tblInd w:w="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Facility Costs (1)</w:t>
            </w: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Employee Separation</w:t>
            </w:r>
          </w:p>
        </w:tc>
        <w:tc>
          <w:tcPr>
            <w:tcW w:w="140" w:type="dxa"/>
            <w:vAlign w:val="bottom"/>
          </w:tcPr>
          <w:p>
            <w:pPr>
              <w:spacing w:after="0"/>
              <w:rPr>
                <w:sz w:val="12"/>
                <w:szCs w:val="12"/>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Exit Costs (2)</w:t>
            </w:r>
          </w:p>
        </w:tc>
        <w:tc>
          <w:tcPr>
            <w:tcW w:w="380" w:type="dxa"/>
            <w:vAlign w:val="bottom"/>
          </w:tcPr>
          <w:p>
            <w:pPr>
              <w:spacing w:after="0"/>
              <w:rPr>
                <w:sz w:val="12"/>
                <w:szCs w:val="12"/>
                <w:color w:val="auto"/>
              </w:rPr>
            </w:pPr>
          </w:p>
        </w:tc>
        <w:tc>
          <w:tcPr>
            <w:tcW w:w="118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Accrual at December 31,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Amounts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Accrual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0" w:type="dxa"/>
            <w:vAlign w:val="bottom"/>
          </w:tcPr>
          <w:p>
            <w:pPr>
              <w:spacing w:after="0"/>
              <w:rPr>
                <w:sz w:val="1"/>
                <w:szCs w:val="1"/>
                <w:color w:val="auto"/>
              </w:rPr>
            </w:pPr>
          </w:p>
        </w:tc>
      </w:tr>
      <w:tr>
        <w:trPr>
          <w:trHeight w:val="22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Non-cash Amounts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Accrual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cumulative charges incurred to date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additional charges to be incurred</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primarily consist of equipment relocation costs directly resulting from the restructuring actions.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exit costs primarily consist of employee relocation and training costs directly resulting from the restructuring actions.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5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9"/>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540" w:type="dxa"/>
            <w:vAlign w:val="bottom"/>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(Credited) Charged</w:t>
            </w:r>
          </w:p>
        </w:tc>
        <w:tc>
          <w:tcPr>
            <w:tcW w:w="12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 Expense</w:t>
            </w:r>
          </w:p>
        </w:tc>
        <w:tc>
          <w:tcPr>
            <w:tcW w:w="12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20" w:type="dxa"/>
            <w:vAlign w:val="bottom"/>
            <w:gridSpan w:val="2"/>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136,934</w:t>
            </w: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(15,311)</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121,310</w:t>
            </w:r>
          </w:p>
        </w:tc>
        <w:tc>
          <w:tcPr>
            <w:tcW w:w="15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3,653</w:t>
            </w: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122,357</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122,357</w:t>
            </w: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(17,762)</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(2,726)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2022, and concluded those disclosure controls and procedures were effective as of that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assessment of the effectiveness of our internal control over financial reporting as of December 31, 2022,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2022, based on criteria in Internal Control — Integrated Framework (2013) issued by the COSO.</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PricewaterhouseCoopers LLP, an independent registered public accounting firm, as stated in their report which appears under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December 31, 2022 that have materially affected, or are reasonably likely to materially affect, our internal control over financial reporting.</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with the exception of information relating to our Code of Business Conduct (the “Code of Business Conduct”) as disclosed below, is incorporated herein by reference from the material included under the captions “Proposal One: Election of Directors,” “Corporate Governance,” “Executive Officers” and “Delinquent Section 16(a) Reports” in our definitive proxy statement to be filed with the SEC pursuant to Regulation 14A within 120 days after our fiscal year ended December 31, 2022 in connection with our 2023 Annual Meeting of Stockholders (the “Proxy Statement”).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Code of Business Conduct is written and is applicable to all employees, including our Chief Executive Officer, Chief Financial Officer and Controller. The Code of Business Conduct and our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the Code of Business Conduct required to be disclosed pursuant to applicable rules and regulations.</w:t>
      </w:r>
    </w:p>
    <w:p>
      <w:pPr>
        <w:spacing w:after="0" w:line="20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herein by reference from the material included under the captions “Director Compensation,” “Executive Compensation,” “Compensation Committee Interlocks and Insider Participation” “Pay Ratio” and “Compensation Committee Report” in the Proxy Statement.</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with the exception of the equity compensation plan information presented below, is incorporated herein by reference from the material included under the caption “Security Ownership of Certain Beneficial Owners and Management”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EQUITY COMPENSATION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as of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1"/>
                <w:szCs w:val="11"/>
                <w:color w:val="auto"/>
              </w:rPr>
            </w:pPr>
          </w:p>
        </w:tc>
        <w:tc>
          <w:tcPr>
            <w:tcW w:w="168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Reflected in Column(a))</w:t>
            </w: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Rights (1)</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5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 approved by stockholders (2)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 (3)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 (4)</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8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 compensation plans</w:t>
            </w:r>
          </w:p>
        </w:tc>
        <w:tc>
          <w:tcPr>
            <w:tcW w:w="180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21,909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328"/>
        <w:spacing w:after="0" w:line="282" w:lineRule="auto"/>
        <w:tabs>
          <w:tab w:leader="none" w:pos="5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without taking into account shares of common stock subject to outstanding RSUs and PSUs that will become issuable as those units vest without any cash consideration or other payment required for such shares.</w:t>
      </w:r>
    </w:p>
    <w:p>
      <w:pPr>
        <w:spacing w:after="0" w:line="10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2007 Plan and the 2021 Plan.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0.7 million shares of common stock subject to RSUs and PSUs, which entitle each holder to one share of common stock for each unit that vests over the holder’s period of continued service or based on the achievement of certain performance criteria.</w:t>
      </w:r>
    </w:p>
    <w:p>
      <w:pPr>
        <w:spacing w:after="0" w:line="107" w:lineRule="exact"/>
        <w:rPr>
          <w:rFonts w:ascii="Times New Roman" w:cs="Times New Roman" w:eastAsia="Times New Roman" w:hAnsi="Times New Roman"/>
          <w:sz w:val="18"/>
          <w:szCs w:val="18"/>
          <w:color w:val="auto"/>
        </w:rPr>
      </w:pPr>
    </w:p>
    <w:p>
      <w:pPr>
        <w:ind w:left="660" w:hanging="328"/>
        <w:spacing w:after="0" w:line="255" w:lineRule="auto"/>
        <w:tabs>
          <w:tab w:leader="none" w:pos="5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available for issuance under the 2021 Plan, as adjusted to account for full-value awards, which reduce the shares of common stock available for future issuance at a fungible ratio of 1:1.5 for each full-value award previously awarded. The 2007 Plan terminated on the date of the 2021 Annual Meeting, and, accordingly, there were no shares available for future grants under the 2007 Plan as of December 31, 2022. However, if an award under the 2021 Plan or under the 2007 Plan is forfeited, terminated, canceled, expires or is paid in cash, the shares subject to such award, to the extent of the forfeiture, termination, cancellation, expiration or cash payment, may be added back to the shares available for issuance under the 2021 Plan on a 1:1 basis for options and stock appreciation rights and on a 1.5:1 basis for all other equity awards.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2021 Plan, which was approved by our stockholders at the 2021 Annual Meeting, superseded and replaced the 2007 Plan. As of December 31, 2022, a total of 21.9 million shares were available for issuance under the 2021 Plan. Shares available for issuance under our 2021 Plan can be granted pursuant to stock options, restricted stock, RSUs, stock appreciation rights, PSUs and performance shares. For additional information regarding the 2007 Plan and the 2021 Plan, see Note 2 to our Consolidated Financial Statements in Part II, Item 8 of this Form 10-K.</w:t>
      </w:r>
    </w:p>
    <w:p>
      <w:pPr>
        <w:spacing w:after="0" w:line="3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herein by reference from the material included under the captions “Corporate Governance - Certain Relationships and Related Transactions” and “Proposal One: Election of Directors” in the Proxy Statement.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from the material included under the caption “Proposal Three: Ratification of Appointment of Independent Registered Public Accounting Firm”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54" w:lineRule="exact"/>
        <w:rPr>
          <w:sz w:val="20"/>
          <w:szCs w:val="20"/>
          <w:color w:val="auto"/>
        </w:rPr>
      </w:pPr>
    </w:p>
    <w:p>
      <w:pPr>
        <w:ind w:left="500" w:hanging="249"/>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Financial Statement Schedules and Exhibits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financial statements and schedules filed as part of this Form 10-K are listed in the index under Part II, Item 8 of this Form 10-K.</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required by Item 601 of Regulation S-K that are filed with this Form 10-K or incorporated by reference herein are set forth below.</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contracts or compensatory plans or arrangements are identified by an asterisk.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spacing w:after="0"/>
              <w:rPr>
                <w:sz w:val="10"/>
                <w:szCs w:val="10"/>
                <w:color w:val="auto"/>
              </w:rPr>
            </w:pPr>
          </w:p>
        </w:tc>
        <w:tc>
          <w:tcPr>
            <w:tcW w:w="4120" w:type="dxa"/>
            <w:vAlign w:val="bottom"/>
            <w:gridSpan w:val="24"/>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24"/>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5240" w:type="dxa"/>
            <w:vAlign w:val="bottom"/>
            <w:gridSpan w:val="25"/>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Sales  Contract  of  Commodity  Premises  between  Shanghai</w:t>
              </w:r>
            </w:hyperlink>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6/30/04</w:t>
            </w:r>
          </w:p>
        </w:tc>
        <w:tc>
          <w:tcPr>
            <w:tcW w:w="80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w w:val="97"/>
              </w:rPr>
              <w:t>2.3</w:t>
            </w:r>
          </w:p>
        </w:tc>
        <w:tc>
          <w:tcPr>
            <w:tcW w:w="1980" w:type="dxa"/>
            <w:vAlign w:val="bottom"/>
          </w:tcPr>
          <w:p>
            <w:pPr>
              <w:jc w:val="center"/>
              <w:ind w:right="873"/>
              <w:spacing w:after="0" w:line="189" w:lineRule="exact"/>
              <w:rPr>
                <w:sz w:val="20"/>
                <w:szCs w:val="20"/>
                <w:color w:val="auto"/>
              </w:rPr>
            </w:pPr>
            <w:r>
              <w:rPr>
                <w:rFonts w:ascii="Times New Roman" w:cs="Times New Roman" w:eastAsia="Times New Roman" w:hAnsi="Times New Roman"/>
                <w:sz w:val="18"/>
                <w:szCs w:val="18"/>
                <w:color w:val="auto"/>
                <w:w w:val="99"/>
              </w:rPr>
              <w:t>8/6/04</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Waigaoqiao Free Trade Zone Xin Development Co., Ltd. and Amkor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Assembly &amp; Test (Shanghai) Co., Ltd. dated May 7, 2004.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420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Incorporation.</w:t>
              </w:r>
            </w:hyperlink>
          </w:p>
        </w:tc>
        <w:tc>
          <w:tcPr>
            <w:tcW w:w="1040" w:type="dxa"/>
            <w:vAlign w:val="bottom"/>
            <w:gridSpan w:val="13"/>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spacing w:after="0"/>
              <w:rPr>
                <w:sz w:val="19"/>
                <w:szCs w:val="19"/>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3.1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Certificate of Correction to Certificate of Incorporation.</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POSAM</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8/26/98</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c>
          <w:tcPr>
            <w:tcW w:w="376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Restated Bylaws as amended on November 5, 2013.</w:t>
              </w:r>
            </w:hyperlink>
          </w:p>
        </w:tc>
        <w:tc>
          <w:tcPr>
            <w:tcW w:w="260" w:type="dxa"/>
            <w:vAlign w:val="bottom"/>
            <w:tcBorders>
              <w:top w:val="single" w:sz="8" w:color="0000FF"/>
            </w:tcBorders>
            <w:gridSpan w:val="2"/>
          </w:tcPr>
          <w:p>
            <w:pPr>
              <w:spacing w:after="0"/>
              <w:rPr>
                <w:sz w:val="18"/>
                <w:szCs w:val="18"/>
                <w:color w:val="auto"/>
              </w:rPr>
            </w:pPr>
          </w:p>
        </w:tc>
        <w:tc>
          <w:tcPr>
            <w:tcW w:w="1220" w:type="dxa"/>
            <w:vAlign w:val="bottom"/>
            <w:gridSpan w:val="15"/>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12/31/13</w:t>
            </w: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3.3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2/28/14</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Specimen Common Stock Certificate.</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3/31/98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Indenture, dated March 15, 2019, by and between Amkor Technology,</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3/5/19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 and U.S. Bank National Association, as trustee, regarding the</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40" w:type="dxa"/>
            <w:vAlign w:val="bottom"/>
            <w:gridSpan w:val="20"/>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6.</w:t>
              </w:r>
              <w:r>
                <w:rPr>
                  <w:rFonts w:ascii="Times New Roman" w:cs="Times New Roman" w:eastAsia="Times New Roman" w:hAnsi="Times New Roman"/>
                  <w:sz w:val="18"/>
                  <w:szCs w:val="18"/>
                  <w:u w:val="single" w:color="auto"/>
                  <w:color w:val="0000FF"/>
                </w:rPr>
                <w:t>625%</w:t>
              </w:r>
              <w:r>
                <w:rPr>
                  <w:rFonts w:ascii="Times New Roman" w:cs="Times New Roman" w:eastAsia="Times New Roman" w:hAnsi="Times New Roman"/>
                  <w:sz w:val="18"/>
                  <w:szCs w:val="18"/>
                  <w:color w:val="0000FF"/>
                </w:rPr>
                <w:t xml:space="preserve"> Senior Notes due 2027.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Description of the Registrant’s Securities Registered Pursuant to</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12/31/19</w:t>
            </w: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Section 12 of the Securities Exchange Act of 1934.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45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Form of Indemnification Agreement for directors and officers.</w:t>
              </w:r>
            </w:hyperlink>
          </w:p>
        </w:tc>
        <w:tc>
          <w:tcPr>
            <w:tcW w:w="740" w:type="dxa"/>
            <w:vAlign w:val="bottom"/>
            <w:gridSpan w:val="10"/>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3/31/98</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2009 Voting Agreement, dated as of March 26, 2009, between Amkor</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4/1/09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Technology, Inc., James J. Kim and 915 Investments, LP.</w:t>
              </w:r>
            </w:hyperlink>
          </w:p>
        </w:tc>
        <w:tc>
          <w:tcPr>
            <w:tcW w:w="9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Employment Letter Agreement, dated February 27, 2017, between</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3/3/17</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Amkor Technology, Inc. and Stephen D. Kelley.*</w:t>
              </w:r>
            </w:hyperlink>
          </w:p>
        </w:tc>
        <w:tc>
          <w:tcPr>
            <w:tcW w:w="152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w:t>
            </w:r>
          </w:p>
        </w:tc>
        <w:tc>
          <w:tcPr>
            <w:tcW w:w="52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Stock Option Award Agreement under the Second Amended</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40" w:type="dxa"/>
            <w:vAlign w:val="bottom"/>
            <w:gridSpan w:val="25"/>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and Restated 2007 Equity Incentive Plan.*</w:t>
              </w:r>
            </w:hyperlink>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Restricted  Stock  Award  Agreement  under  the  Second</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Amended and Restated 2007 Equity Incentive Plan.*</w:t>
              </w:r>
            </w:hyperlink>
          </w:p>
        </w:tc>
        <w:tc>
          <w:tcPr>
            <w:tcW w:w="14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10.6</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Outside Director Stock Option Award Agreement under the</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Second Amended and Restated 2007 Equity Incentive Plan.*</w:t>
              </w:r>
            </w:hyperlink>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438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Second Amended and Restated 2007 Equity Incentive Plan*</w:t>
              </w:r>
            </w:hyperlink>
          </w:p>
        </w:tc>
        <w:tc>
          <w:tcPr>
            <w:tcW w:w="860" w:type="dxa"/>
            <w:vAlign w:val="bottom"/>
            <w:gridSpan w:val="11"/>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20" w:type="dxa"/>
            <w:vAlign w:val="bottom"/>
            <w:gridSpan w:val="12"/>
            <w:shd w:val="clear" w:color="auto" w:fill="0000FF"/>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5240" w:type="dxa"/>
            <w:vAlign w:val="bottom"/>
            <w:gridSpan w:val="25"/>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Amendment One to Second Amended and Restated 2007 Equity</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8/1/19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Incentive Plan*</w:t>
              </w:r>
            </w:hyperlink>
          </w:p>
        </w:tc>
        <w:tc>
          <w:tcPr>
            <w:tcW w:w="18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jc w:val="center"/>
              <w:ind w:left="992"/>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jc w:val="center"/>
              <w:ind w:left="992"/>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1"/>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20" w:type="dxa"/>
            <w:vAlign w:val="bottom"/>
            <w:gridSpan w:val="2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4"/>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jc w:val="right"/>
              <w:ind w:right="112"/>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5380" w:type="dxa"/>
            <w:vAlign w:val="bottom"/>
            <w:gridSpan w:val="30"/>
          </w:tcPr>
          <w:p>
            <w:pPr>
              <w:spacing w:after="0" w:line="20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Global Stock Option Award Agreement under the Second</w:t>
              </w:r>
            </w:hyperlink>
          </w:p>
        </w:tc>
        <w:tc>
          <w:tcPr>
            <w:tcW w:w="72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2"/>
              <w:spacing w:after="0" w:line="202" w:lineRule="exact"/>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Amended and Restated 2007 Equity Incentive Plan.*</w:t>
              </w:r>
            </w:hyperlink>
          </w:p>
        </w:tc>
        <w:tc>
          <w:tcPr>
            <w:tcW w:w="13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10.10</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Global Restricted Stock Award Agreement under the Second</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Amended and Restated 2007 Equity Incentive Plan.*</w:t>
              </w:r>
            </w:hyperlink>
          </w:p>
        </w:tc>
        <w:tc>
          <w:tcPr>
            <w:tcW w:w="13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10.11</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Global Outside Director Nonstatutory Stock Option Award</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9"/>
              </w:rPr>
              <w:t>10/30/20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Agreement under the Second Amended and Restated 2007 Equity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60" w:type="dxa"/>
            <w:vAlign w:val="bottom"/>
            <w:gridSpan w:val="24"/>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10.12</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Global Outside Director Restricted Stock Award Agreement</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9"/>
              </w:rPr>
              <w:t>10/30/20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under the Second Amended and Restated 2007 Equity Incentive</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33">
              <w:r>
                <w:rPr>
                  <w:rFonts w:ascii="Times New Roman" w:cs="Times New Roman" w:eastAsia="Times New Roman" w:hAnsi="Times New Roman"/>
                  <w:sz w:val="18"/>
                  <w:szCs w:val="18"/>
                  <w:color w:val="0000FF"/>
                  <w:w w:val="96"/>
                </w:rPr>
                <w:t>Plan.*</w:t>
              </w:r>
            </w:hyperlink>
          </w:p>
        </w:tc>
        <w:tc>
          <w:tcPr>
            <w:tcW w:w="490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10.13</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Global Performance-Vested Restricted Stock Unit Award</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9"/>
              </w:rPr>
              <w:t>2/5/21</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20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Agreement under the Second Amended and Restated 2007 Equity</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26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Incentive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10.14</w:t>
            </w: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vMerge w:val="restart"/>
          </w:tcPr>
          <w:p>
            <w:pPr>
              <w:jc w:val="center"/>
              <w:ind w:right="872"/>
              <w:spacing w:after="0"/>
              <w:rPr>
                <w:sz w:val="20"/>
                <w:szCs w:val="20"/>
                <w:color w:val="auto"/>
              </w:rPr>
            </w:pPr>
            <w:r>
              <w:rPr>
                <w:rFonts w:ascii="Times New Roman" w:cs="Times New Roman" w:eastAsia="Times New Roman" w:hAnsi="Times New Roman"/>
                <w:sz w:val="18"/>
                <w:szCs w:val="18"/>
                <w:color w:val="auto"/>
                <w:w w:val="99"/>
              </w:rPr>
              <w:t>2/5/21</w:t>
            </w:r>
          </w:p>
        </w:tc>
        <w:tc>
          <w:tcPr>
            <w:tcW w:w="0" w:type="dxa"/>
            <w:vAlign w:val="bottom"/>
          </w:tcPr>
          <w:p>
            <w:pPr>
              <w:spacing w:after="0" w:line="20" w:lineRule="exact"/>
              <w:rPr>
                <w:sz w:val="1"/>
                <w:szCs w:val="1"/>
                <w:color w:val="auto"/>
              </w:rPr>
            </w:pPr>
          </w:p>
        </w:tc>
      </w:tr>
      <w:tr>
        <w:trPr>
          <w:trHeight w:val="250"/>
        </w:trPr>
        <w:tc>
          <w:tcPr>
            <w:tcW w:w="1120" w:type="dxa"/>
            <w:vAlign w:val="bottom"/>
            <w:vMerge w:val="continue"/>
          </w:tcPr>
          <w:p>
            <w:pPr>
              <w:spacing w:after="0"/>
              <w:rPr>
                <w:sz w:val="21"/>
                <w:szCs w:val="21"/>
                <w:color w:val="auto"/>
              </w:rPr>
            </w:pPr>
          </w:p>
        </w:tc>
        <w:tc>
          <w:tcPr>
            <w:tcW w:w="5380" w:type="dxa"/>
            <w:vAlign w:val="bottom"/>
            <w:gridSpan w:val="3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Global Time-Vested Restricted Stock Unit Award Agreement</w:t>
              </w:r>
            </w:hyperlink>
          </w:p>
        </w:tc>
        <w:tc>
          <w:tcPr>
            <w:tcW w:w="72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28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under the Second Amended and Restated 2007 Equity Incentive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135">
              <w:r>
                <w:rPr>
                  <w:rFonts w:ascii="Times New Roman" w:cs="Times New Roman" w:eastAsia="Times New Roman" w:hAnsi="Times New Roman"/>
                  <w:sz w:val="18"/>
                  <w:szCs w:val="18"/>
                  <w:color w:val="0000FF"/>
                  <w:w w:val="96"/>
                </w:rPr>
                <w:t>Plan.*</w:t>
              </w:r>
            </w:hyperlink>
          </w:p>
        </w:tc>
        <w:tc>
          <w:tcPr>
            <w:tcW w:w="4900" w:type="dxa"/>
            <w:vAlign w:val="bottom"/>
            <w:tcBorders>
              <w:top w:val="single" w:sz="8" w:color="0000FF"/>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10.15</w:t>
            </w:r>
          </w:p>
        </w:tc>
        <w:tc>
          <w:tcPr>
            <w:tcW w:w="38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Amkor Technology, Inc. 2021 Equity Incentive Plan*</w:t>
              </w:r>
            </w:hyperlink>
          </w:p>
        </w:tc>
        <w:tc>
          <w:tcPr>
            <w:tcW w:w="1520" w:type="dxa"/>
            <w:vAlign w:val="bottom"/>
            <w:gridSpan w:val="18"/>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37"/>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10.16</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One  to  the  Amkor  Technology,  Inc.  2021  Equity</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12/31/21</w:t>
            </w: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10.36</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10.17</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Global Non-Employee Director Nonstatutory Stock Option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Award Agreement*</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10.18</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Global Non-Employee Director Restricted Stock Award</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Agreement*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10.19</w:t>
            </w:r>
          </w:p>
        </w:tc>
        <w:tc>
          <w:tcPr>
            <w:tcW w:w="35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Form of Global Stock Option Award Agreement*</w:t>
              </w:r>
            </w:hyperlink>
          </w:p>
        </w:tc>
        <w:tc>
          <w:tcPr>
            <w:tcW w:w="1800" w:type="dxa"/>
            <w:vAlign w:val="bottom"/>
            <w:gridSpan w:val="21"/>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10.20</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Global Restricted Stock Award Agreement*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10.21</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Global Performance-Vested Restricted Stock Unit Award</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Agreement*</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10.22</w:t>
            </w:r>
          </w:p>
        </w:tc>
        <w:tc>
          <w:tcPr>
            <w:tcW w:w="53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Global  Time-Vested  Restricted  Stock  Unit  Award</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80" w:type="dxa"/>
            <w:vAlign w:val="bottom"/>
            <w:gridSpan w:val="30"/>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Agreement*</w:t>
              </w:r>
            </w:hyperlink>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10.23</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Global  Non-Employee  Director  Time-Vested  Restricted</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12/31/21</w:t>
            </w: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10.35</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Stock Unit Award Agreement*</w:t>
              </w:r>
            </w:hyperlink>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10.24</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 xml:space="preserve">Amended and </w:t>
              </w:r>
            </w:hyperlink>
            <w:r>
              <w:rPr>
                <w:rFonts w:ascii="Times New Roman" w:cs="Times New Roman" w:eastAsia="Times New Roman" w:hAnsi="Times New Roman"/>
                <w:sz w:val="18"/>
                <w:szCs w:val="18"/>
                <w:color w:val="0000FF"/>
              </w:rPr>
              <w:t xml:space="preserve">Restated </w:t>
            </w:r>
            <w:hyperlink r:id="rId145">
              <w:r>
                <w:rPr>
                  <w:rFonts w:ascii="Times New Roman" w:cs="Times New Roman" w:eastAsia="Times New Roman" w:hAnsi="Times New Roman"/>
                  <w:sz w:val="18"/>
                  <w:szCs w:val="18"/>
                  <w:color w:val="0000FF"/>
                </w:rPr>
                <w:t>Non-Employee Director Compensation Policy</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9"/>
              </w:rPr>
              <w:t>8/4/22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10.25</w:t>
            </w:r>
          </w:p>
        </w:tc>
        <w:tc>
          <w:tcPr>
            <w:tcW w:w="53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Second   Amended   and   Restated   Non-Employee   Director</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540" w:type="dxa"/>
            <w:vAlign w:val="bottom"/>
            <w:tcBorders>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highlight w:val="white"/>
                <w:w w:val="98"/>
              </w:rPr>
              <w:t>Compensation Policy</w:t>
            </w:r>
          </w:p>
        </w:tc>
        <w:tc>
          <w:tcPr>
            <w:tcW w:w="20" w:type="dxa"/>
            <w:vAlign w:val="bottom"/>
          </w:tcPr>
          <w:p>
            <w:pPr>
              <w:spacing w:after="0"/>
              <w:rPr>
                <w:sz w:val="13"/>
                <w:szCs w:val="13"/>
                <w:color w:val="auto"/>
              </w:rPr>
            </w:pPr>
          </w:p>
        </w:tc>
        <w:tc>
          <w:tcPr>
            <w:tcW w:w="200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1020" w:type="dxa"/>
            <w:vAlign w:val="bottom"/>
            <w:tcBorders>
              <w:top w:val="single" w:sz="8" w:color="0000FF"/>
            </w:tcBorders>
            <w:gridSpan w:val="4"/>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10.26</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Executive Incentive Bonus Plan*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10.27</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Letter Agreement, dated June 24, 2020, between Amkor</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Technology, Inc. and Guillaume Marie Jean Rutten.*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10.28</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Separation Agreement and Release, effective July 4, 2020, between</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Amkor Technology, Inc. and Stephen D. Kelley.*</w:t>
              </w:r>
            </w:hyperlink>
          </w:p>
        </w:tc>
        <w:tc>
          <w:tcPr>
            <w:tcW w:w="1680" w:type="dxa"/>
            <w:vAlign w:val="bottom"/>
            <w:tcBorders>
              <w:top w:val="single" w:sz="8" w:color="0000FF"/>
            </w:tcBorders>
            <w:gridSpan w:val="15"/>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10.29</w:t>
            </w:r>
          </w:p>
        </w:tc>
        <w:tc>
          <w:tcPr>
            <w:tcW w:w="538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Separation  and  Release  Agreement,  dated  September  27,  2021,</w:t>
              </w:r>
            </w:hyperlink>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9"/>
              </w:rPr>
              <w:t>10/29/21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between Amkor Technology, Inc. and John C. Stone*</w:t>
              </w:r>
            </w:hyperlink>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360" w:type="dxa"/>
            <w:vAlign w:val="bottom"/>
            <w:gridSpan w:val="29"/>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60" w:type="dxa"/>
            <w:vAlign w:val="bottom"/>
            <w:tcBorders>
              <w:bottom w:val="single" w:sz="8" w:color="auto"/>
            </w:tcBorders>
            <w:gridSpan w:val="29"/>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536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Executive Severance Agreement, dated November 15, 2022, between</w:t>
            </w: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tcPr>
          <w:p>
            <w:pPr>
              <w:jc w:val="center"/>
              <w:ind w:left="993"/>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8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Amkor Technology, Inc. and Giel Rutten*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10.31</w:t>
            </w:r>
          </w:p>
        </w:tc>
        <w:tc>
          <w:tcPr>
            <w:tcW w:w="5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Executive Severance Agreement, dated November 15, 2022, between</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8"/>
              </w:rPr>
              <w:t>Amkor Technology, Inc. and Megan Faust*</w:t>
            </w:r>
          </w:p>
        </w:tc>
        <w:tc>
          <w:tcPr>
            <w:tcW w:w="21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10.32</w:t>
            </w:r>
          </w:p>
        </w:tc>
        <w:tc>
          <w:tcPr>
            <w:tcW w:w="5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Executive Severance Agreement, dated November 15, 2022, between</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8"/>
              </w:rPr>
              <w:t>Amkor Technology, Inc. and Farshad Haghighi*</w:t>
            </w:r>
          </w:p>
        </w:tc>
        <w:tc>
          <w:tcPr>
            <w:tcW w:w="18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10.33</w:t>
            </w:r>
          </w:p>
        </w:tc>
        <w:tc>
          <w:tcPr>
            <w:tcW w:w="5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Executive Severance Agreement, dated November 15, 2022, between</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8"/>
              </w:rPr>
              <w:t>Amkor Technology, Inc. and Mark Rogers*</w:t>
            </w:r>
          </w:p>
        </w:tc>
        <w:tc>
          <w:tcPr>
            <w:tcW w:w="21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10.34</w:t>
            </w:r>
          </w:p>
        </w:tc>
        <w:tc>
          <w:tcPr>
            <w:tcW w:w="5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Executive Severance Agreement, dated February 13, 2023, between</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100" w:type="dxa"/>
            <w:vAlign w:val="bottom"/>
            <w:tcBorders>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highlight w:val="white"/>
                <w:w w:val="98"/>
              </w:rPr>
              <w:t>Amkor Technology, Inc. and Kevin Engel*</w:t>
            </w:r>
          </w:p>
        </w:tc>
        <w:tc>
          <w:tcPr>
            <w:tcW w:w="20" w:type="dxa"/>
            <w:vAlign w:val="bottom"/>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6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10.35</w:t>
            </w:r>
          </w:p>
        </w:tc>
        <w:tc>
          <w:tcPr>
            <w:tcW w:w="5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Executive  Employment  Agreement,  effective  January  1,  2023,</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200" w:type="dxa"/>
            <w:vAlign w:val="bottom"/>
            <w:tcBorders>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highlight w:val="white"/>
                <w:w w:val="99"/>
              </w:rPr>
              <w:t>between Amkor Technology Korea, Inc. and Steve Shin*†</w:t>
            </w:r>
          </w:p>
        </w:tc>
        <w:tc>
          <w:tcPr>
            <w:tcW w:w="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10.36</w:t>
            </w:r>
          </w:p>
        </w:tc>
        <w:tc>
          <w:tcPr>
            <w:tcW w:w="5360" w:type="dxa"/>
            <w:vAlign w:val="bottom"/>
            <w:gridSpan w:val="2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Syndicated  Loan  Agreement  among  J-Devices  Corporation,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7/19/18</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Sumitomo  Mitsui  Banking  Corporation  and  other  financial</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26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institutions, dated as of July 13, 2018 (English translation).</w:t>
              </w:r>
            </w:hyperlink>
          </w:p>
        </w:tc>
        <w:tc>
          <w:tcPr>
            <w:tcW w:w="10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10.37</w:t>
            </w:r>
          </w:p>
        </w:tc>
        <w:tc>
          <w:tcPr>
            <w:tcW w:w="5360" w:type="dxa"/>
            <w:vAlign w:val="bottom"/>
            <w:gridSpan w:val="2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Guaranty by Amkor Technology, Inc. in favor of Sumitomo Mitsui</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7/19/18</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Banking Corporation and other financial institutions, dated as of July</w:t>
              </w:r>
            </w:hyperlink>
          </w:p>
        </w:tc>
        <w:tc>
          <w:tcPr>
            <w:tcW w:w="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2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13, 2018 (English translation).</w:t>
              </w:r>
            </w:hyperlink>
          </w:p>
        </w:tc>
        <w:tc>
          <w:tcPr>
            <w:tcW w:w="2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10.38</w:t>
            </w:r>
          </w:p>
        </w:tc>
        <w:tc>
          <w:tcPr>
            <w:tcW w:w="5360" w:type="dxa"/>
            <w:vAlign w:val="bottom"/>
            <w:gridSpan w:val="2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Loan and Security Agreement, dated as of July 13, 2018, by and</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7/19/18</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among Amkor Technology Singapore Holding Pte, Ltd., Bank of</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00" w:type="dxa"/>
            <w:vAlign w:val="bottom"/>
            <w:gridSpan w:val="21"/>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America, N.A. and other financial institutions.</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10.39</w:t>
            </w:r>
          </w:p>
        </w:tc>
        <w:tc>
          <w:tcPr>
            <w:tcW w:w="5360" w:type="dxa"/>
            <w:vAlign w:val="bottom"/>
            <w:gridSpan w:val="2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to Loan and Security Agreement, dated as of July 8,</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6/30/19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8/1/19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2019, by and amount Amkor Technology Singapore Holding Pte, Ltd.,</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60" w:type="dxa"/>
            <w:vAlign w:val="bottom"/>
            <w:gridSpan w:val="2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Bank of America, N.A. and other financial institutions.</w:t>
              </w:r>
            </w:hyperlink>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10.40</w:t>
            </w:r>
          </w:p>
        </w:tc>
        <w:tc>
          <w:tcPr>
            <w:tcW w:w="5360" w:type="dxa"/>
            <w:vAlign w:val="bottom"/>
            <w:gridSpan w:val="2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Guaranty and Security Agreement, dated as of July 13, 2018, by and</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7/19/18</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among Amkor Technology, Inc., and Bank of America, N.A.</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420" w:type="dxa"/>
            <w:vAlign w:val="bottom"/>
            <w:gridSpan w:val="11"/>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10.41</w:t>
            </w:r>
          </w:p>
        </w:tc>
        <w:tc>
          <w:tcPr>
            <w:tcW w:w="5360" w:type="dxa"/>
            <w:vAlign w:val="bottom"/>
            <w:gridSpan w:val="2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Syndicated  Loan  Agreement  among  J-Devices  Corporation,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w w:val="99"/>
              </w:rPr>
              <w:t>12/26/19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Sumitomo  Mitsui  Banking  Corporation  and  other  financial</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institutions, dated as of December 23, 2019 (English translation)</w:t>
              </w:r>
            </w:hyperlink>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700" w:type="dxa"/>
            <w:vAlign w:val="bottom"/>
            <w:gridSpan w:val="1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10.42</w:t>
            </w:r>
          </w:p>
        </w:tc>
        <w:tc>
          <w:tcPr>
            <w:tcW w:w="5360" w:type="dxa"/>
            <w:vAlign w:val="bottom"/>
            <w:gridSpan w:val="2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Guaranty by Amkor Technology, Inc. in favor of Sumitomo Mitsui</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w w:val="99"/>
              </w:rPr>
              <w:t>12/26/19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Banking Corporation and other financial institutions, dated as of</w:t>
              </w:r>
            </w:hyperlink>
          </w:p>
        </w:tc>
        <w:tc>
          <w:tcPr>
            <w:tcW w:w="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December 23, 2019 (English translation)</w:t>
              </w:r>
            </w:hyperlink>
          </w:p>
        </w:tc>
        <w:tc>
          <w:tcPr>
            <w:tcW w:w="236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10.43</w:t>
            </w:r>
          </w:p>
        </w:tc>
        <w:tc>
          <w:tcPr>
            <w:tcW w:w="5360" w:type="dxa"/>
            <w:vAlign w:val="bottom"/>
            <w:gridSpan w:val="2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Deed of Guaranty by Amkor Technology Singapore Holding Pte. Ltd.</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w w:val="99"/>
              </w:rPr>
              <w:t>12/26/19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 favor of Sumitomo Mitsui Banking Corporation and other financial</w:t>
              </w:r>
            </w:hyperlink>
          </w:p>
        </w:tc>
        <w:tc>
          <w:tcPr>
            <w:tcW w:w="60" w:type="dxa"/>
            <w:vAlign w:val="bottom"/>
            <w:tcBorders>
              <w:bottom w:val="single" w:sz="8" w:color="0000FF"/>
            </w:tcBorders>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80" w:type="dxa"/>
            <w:vAlign w:val="bottom"/>
            <w:gridSpan w:val="20"/>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institutions, dated as of December 23, 2019 (English translation)</w:t>
              </w:r>
            </w:hyperlink>
          </w:p>
        </w:tc>
        <w:tc>
          <w:tcPr>
            <w:tcW w:w="180" w:type="dxa"/>
            <w:vAlign w:val="bottom"/>
            <w:gridSpan w:val="9"/>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jc w:val="center"/>
              <w:ind w:left="97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spacing w:after="0"/>
              <w:rPr>
                <w:sz w:val="10"/>
                <w:szCs w:val="10"/>
                <w:color w:val="auto"/>
              </w:rPr>
            </w:pPr>
          </w:p>
        </w:tc>
        <w:tc>
          <w:tcPr>
            <w:tcW w:w="4300" w:type="dxa"/>
            <w:vAlign w:val="bottom"/>
            <w:gridSpan w:val="18"/>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6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Period Ending    Exhibit</w:t>
            </w:r>
          </w:p>
        </w:tc>
        <w:tc>
          <w:tcPr>
            <w:tcW w:w="1960" w:type="dxa"/>
            <w:vAlign w:val="bottom"/>
            <w:vMerge w:val="restart"/>
          </w:tcPr>
          <w:p>
            <w:pPr>
              <w:jc w:val="center"/>
              <w:ind w:right="913"/>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18"/>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10.43</w:t>
            </w:r>
          </w:p>
        </w:tc>
        <w:tc>
          <w:tcPr>
            <w:tcW w:w="5340" w:type="dxa"/>
            <w:vAlign w:val="bottom"/>
            <w:gridSpan w:val="19"/>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Secured Facility Agreement, dated March 28, 2022, between Amkor</w:t>
              </w:r>
            </w:hyperlink>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2060" w:type="dxa"/>
            <w:vAlign w:val="bottom"/>
          </w:tcPr>
          <w:p>
            <w:pPr>
              <w:jc w:val="right"/>
              <w:ind w:right="222"/>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960" w:type="dxa"/>
            <w:vAlign w:val="bottom"/>
          </w:tcPr>
          <w:p>
            <w:pPr>
              <w:jc w:val="right"/>
              <w:ind w:right="1113"/>
              <w:spacing w:after="0" w:line="189" w:lineRule="exact"/>
              <w:rPr>
                <w:sz w:val="20"/>
                <w:szCs w:val="20"/>
                <w:color w:val="auto"/>
              </w:rPr>
            </w:pPr>
            <w:r>
              <w:rPr>
                <w:rFonts w:ascii="Times New Roman" w:cs="Times New Roman" w:eastAsia="Times New Roman" w:hAnsi="Times New Roman"/>
                <w:sz w:val="18"/>
                <w:szCs w:val="18"/>
                <w:color w:val="auto"/>
              </w:rPr>
              <w:t>3/29/22</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Technology, Inc., as parent, Amkor Technology Singapore Holding</w:t>
              </w:r>
            </w:hyperlink>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Pte. Ltd., as borrower, the subsidiaries of the borrower set forth in the</w:t>
              </w:r>
            </w:hyperlink>
          </w:p>
        </w:tc>
        <w:tc>
          <w:tcPr>
            <w:tcW w:w="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schedules thereto, as original guarantors, the Hongkong and Shanghai</w:t>
              </w:r>
            </w:hyperlink>
          </w:p>
        </w:tc>
        <w:tc>
          <w:tcPr>
            <w:tcW w:w="60" w:type="dxa"/>
            <w:vAlign w:val="bottom"/>
            <w:tcBorders>
              <w:bottom w:val="single" w:sz="8" w:color="0000FF"/>
            </w:tcBorders>
            <w:gridSpan w:val="3"/>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40" w:type="dxa"/>
            <w:vAlign w:val="bottom"/>
            <w:gridSpan w:val="19"/>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Banking Corporation Limited, Singapore Branch (“HSBC”) and DBS</w:t>
              </w:r>
            </w:hyperlink>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Bank Ltd., each as mandated lead arranger and bookrunner, the other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16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financial institutions party thereto, as lenders, HSBC, as agent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0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offshore security trustee, and CTBC Bank Co., Ltd., as onshore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60" w:type="dxa"/>
            <w:vAlign w:val="bottom"/>
            <w:gridSpan w:val="15"/>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security agent.</w:t>
              </w:r>
            </w:hyperlink>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21.1</w:t>
            </w:r>
          </w:p>
        </w:tc>
        <w:tc>
          <w:tcPr>
            <w:tcW w:w="2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List of subsidiaries of the Registrant.</w:t>
            </w:r>
          </w:p>
        </w:tc>
        <w:tc>
          <w:tcPr>
            <w:tcW w:w="2680" w:type="dxa"/>
            <w:vAlign w:val="bottom"/>
            <w:gridSpan w:val="16"/>
          </w:tcPr>
          <w:p>
            <w:pPr>
              <w:spacing w:after="0"/>
              <w:rPr>
                <w:sz w:val="19"/>
                <w:szCs w:val="19"/>
                <w:color w:val="auto"/>
              </w:rPr>
            </w:pP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23.1</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3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Power of Attorney (included on the Signatures page of this Report on</w:t>
            </w: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60" w:type="dxa"/>
            <w:vAlign w:val="bottom"/>
          </w:tcPr>
          <w:p>
            <w:pPr>
              <w:jc w:val="center"/>
              <w:ind w:left="973"/>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10-K).</w:t>
            </w:r>
          </w:p>
        </w:tc>
        <w:tc>
          <w:tcPr>
            <w:tcW w:w="7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2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31.1</w:t>
            </w:r>
          </w:p>
        </w:tc>
        <w:tc>
          <w:tcPr>
            <w:tcW w:w="5340" w:type="dxa"/>
            <w:vAlign w:val="bottom"/>
            <w:gridSpan w:val="19"/>
          </w:tcPr>
          <w:p>
            <w:pPr>
              <w:spacing w:after="0" w:line="198" w:lineRule="exact"/>
              <w:rPr>
                <w:sz w:val="20"/>
                <w:szCs w:val="20"/>
                <w:color w:val="auto"/>
              </w:rPr>
            </w:pPr>
            <w:r>
              <w:rPr>
                <w:rFonts w:ascii="Times New Roman" w:cs="Times New Roman" w:eastAsia="Times New Roman" w:hAnsi="Times New Roman"/>
                <w:sz w:val="18"/>
                <w:szCs w:val="18"/>
                <w:color w:val="0000FF"/>
              </w:rPr>
              <w:t>Certification of Guillaume Marie Jean Rutten, Chief Executive Officer</w:t>
            </w: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60" w:type="dxa"/>
            <w:vAlign w:val="bottom"/>
          </w:tcPr>
          <w:p>
            <w:pPr>
              <w:jc w:val="center"/>
              <w:ind w:left="973"/>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of Amkor Technology, Inc., Pursuant to Rule 13a-14(a) under the</w:t>
            </w: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4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60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25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32.1</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4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1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040" w:type="dxa"/>
            <w:vAlign w:val="bottom"/>
            <w:tcBorders>
              <w:top w:val="single" w:sz="8" w:color="0000FF"/>
            </w:tcBorders>
            <w:gridSpan w:val="2"/>
          </w:tcPr>
          <w:p>
            <w:pPr>
              <w:spacing w:after="0"/>
              <w:rPr>
                <w:sz w:val="13"/>
                <w:szCs w:val="13"/>
                <w:color w:val="auto"/>
              </w:rPr>
            </w:pPr>
          </w:p>
        </w:tc>
        <w:tc>
          <w:tcPr>
            <w:tcW w:w="240" w:type="dxa"/>
            <w:vAlign w:val="bottom"/>
            <w:gridSpan w:val="12"/>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101.INS</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53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101.SCH</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101.CAL</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101.LAB</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101.PRE</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101.DEF</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6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1120" w:type="dxa"/>
            <w:vAlign w:val="bottom"/>
          </w:tcPr>
          <w:p>
            <w:pPr>
              <w:jc w:val="right"/>
              <w:ind w:right="112"/>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34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60" w:type="dxa"/>
            <w:vAlign w:val="bottom"/>
          </w:tcPr>
          <w:p>
            <w:pPr>
              <w:jc w:val="center"/>
              <w:ind w:left="973"/>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80" w:hanging="184"/>
        <w:spacing w:after="0"/>
        <w:tabs>
          <w:tab w:leader="none" w:pos="3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compensatory plan, contract or arrangement.</w:t>
      </w:r>
    </w:p>
    <w:p>
      <w:pPr>
        <w:spacing w:after="0" w:line="103" w:lineRule="exact"/>
        <w:rPr>
          <w:rFonts w:ascii="Times New Roman" w:cs="Times New Roman" w:eastAsia="Times New Roman" w:hAnsi="Times New Roman"/>
          <w:sz w:val="18"/>
          <w:szCs w:val="18"/>
          <w:color w:val="auto"/>
        </w:rPr>
      </w:pPr>
    </w:p>
    <w:p>
      <w:pPr>
        <w:ind w:left="5040" w:hanging="226"/>
        <w:spacing w:after="0"/>
        <w:tabs>
          <w:tab w:leader="none" w:pos="50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03" w:lineRule="exact"/>
        <w:rPr>
          <w:rFonts w:ascii="Times New Roman" w:cs="Times New Roman" w:eastAsia="Times New Roman" w:hAnsi="Times New Roman"/>
          <w:sz w:val="18"/>
          <w:szCs w:val="18"/>
          <w:color w:val="auto"/>
        </w:rPr>
      </w:pPr>
    </w:p>
    <w:p>
      <w:pPr>
        <w:ind w:left="3360" w:hanging="132"/>
        <w:spacing w:after="0"/>
        <w:tabs>
          <w:tab w:leader="none" w:pos="33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includes confidential information that has been redacted.</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1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19799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Guillaume Marie Jean Rutten and Megan Faust, and each of them, his or her attorneys-in-fact, and agents, each with the power of substitution, for and in the name, place and stead of such person, in any and all capacities, to sign any and all amendments to this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conforming all that said attorneys-in-fact and agents of any of them, or his, her or their substitute or substitutes, may lawfully do or cause to be done by virtue hereof.</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Form 10-K has been signed below by the following persons on behalf of the registrant and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48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Guillaume Marie Jean Rutten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Guillaume Marie Jean Rutten</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Megan Faust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Treasurer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Megan Faust</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J. Kim</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Executive Chairman</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J. Kim</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Susan Y. Kim</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Chairman</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Susan Y. Kim</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Douglas A. Alexander</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A. Alexander</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Roger A. Carolin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Roger A. Carolin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0"/>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48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Winston J. Churchill</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Winston J. Churchill</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 Liao</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Liao</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MaryFrances McCourt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MaryFrances McCourt</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R. Morse</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R. Morse</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 C. Tily</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Gil C. Tily</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N. Watson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N. Watson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289" w:right="359" w:bottom="1440" w:gutter="0" w:footer="0" w:header="0"/>
        </w:sectPr>
      </w:pPr>
    </w:p>
    <w:bookmarkStart w:id="100" w:name="page101"/>
    <w:bookmarkEnd w:id="100"/>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ind w:left="4700"/>
        <w:spacing w:after="0" w:line="210" w:lineRule="auto"/>
        <w:rPr>
          <w:sz w:val="20"/>
          <w:szCs w:val="20"/>
          <w:color w:val="auto"/>
        </w:rPr>
      </w:pPr>
      <w:r>
        <w:rPr>
          <w:rFonts w:ascii="Times New Roman" w:cs="Times New Roman" w:eastAsia="Times New Roman" w:hAnsi="Times New Roman"/>
          <w:sz w:val="18"/>
          <w:szCs w:val="18"/>
          <w:b w:val="1"/>
          <w:bCs w:val="1"/>
          <w:color w:val="auto"/>
        </w:rPr>
        <w:t>Amkor Technology,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February 7, 2023</w:t>
      </w: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Amkor Technology,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is a non-employee director of the Company (each such member, a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will be eligible to receive the compensation described in this Non-Employee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for his or her Board service. Unless otherwise defined herein, capitalized terms used in this Policy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have the meaning given to such terms in the Company’s 2021 Equity Incentive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any successor equity incentive plan.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Policy became effective on February 8,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Policy may be amended at any time in the sole discretion of the</w:t>
      </w: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174"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w:t>
      </w:r>
    </w:p>
    <w:p>
      <w:pPr>
        <w:spacing w:after="0" w:line="216"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18"/>
          <w:szCs w:val="18"/>
          <w:color w:val="auto"/>
        </w:rPr>
        <w:t>Following the Effective Date, each Non-Employee Director will be eligible to receive the applicable compensation set forth below. Cash retainers may be paid either as a lump sum or in periodic installments. Any equity compensation contemplated under this Policy will be granted under the Plan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successor equity incentive plan.</w:t>
      </w:r>
    </w:p>
    <w:p>
      <w:pPr>
        <w:spacing w:after="0" w:line="161" w:lineRule="exact"/>
        <w:rPr>
          <w:sz w:val="20"/>
          <w:szCs w:val="20"/>
          <w:color w:val="auto"/>
        </w:rPr>
      </w:pPr>
    </w:p>
    <w:p>
      <w:pPr>
        <w:jc w:val="both"/>
        <w:ind w:firstLine="656"/>
        <w:spacing w:after="0" w:line="232" w:lineRule="auto"/>
        <w:tabs>
          <w:tab w:leader="none" w:pos="129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Board Service. </w:t>
      </w:r>
      <w:r>
        <w:rPr>
          <w:rFonts w:ascii="Times New Roman" w:cs="Times New Roman" w:eastAsia="Times New Roman" w:hAnsi="Times New Roman"/>
          <w:sz w:val="18"/>
          <w:szCs w:val="18"/>
          <w:color w:val="auto"/>
        </w:rPr>
        <w:t>Each person serving as a Non-Employee Director will be paid an annual cash retainer of $60,000.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Non-Employee Director will be paid an additional cash retainer of $2,000 for participation in each of the four regularly-scheduled quarterly Board meetings and $1,000 for participation in each other Board meeting.</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additional annual cash retainers will be paid to a Non-Employee Director serving in each of the following applicable roles: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Lead Independent Director: $25,000</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Executive Vice Chair: $150,000</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Strategic Oversight Role: $75,000</w:t>
      </w:r>
    </w:p>
    <w:p>
      <w:pPr>
        <w:spacing w:after="0" w:line="181" w:lineRule="exact"/>
        <w:rPr>
          <w:sz w:val="20"/>
          <w:szCs w:val="20"/>
          <w:color w:val="auto"/>
        </w:rPr>
      </w:pPr>
    </w:p>
    <w:p>
      <w:pPr>
        <w:jc w:val="both"/>
        <w:ind w:firstLine="656"/>
        <w:spacing w:after="0" w:line="232" w:lineRule="auto"/>
        <w:tabs>
          <w:tab w:leader="none" w:pos="128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Committee Service. </w:t>
      </w:r>
      <w:r>
        <w:rPr>
          <w:rFonts w:ascii="Times New Roman" w:cs="Times New Roman" w:eastAsia="Times New Roman" w:hAnsi="Times New Roman"/>
          <w:sz w:val="18"/>
          <w:szCs w:val="18"/>
          <w:color w:val="auto"/>
        </w:rPr>
        <w:t>Each Non-Employee Director serving on a committee of the Board will be paid, for service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such committee, an additional cash retainer of $2,000 for participation in each of the four quarterly committee meetings and $1,000 for participation in each other committee meeting.</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annual cash retainers will be paid to a Non-Employee Director serving as the Chair of a committee of the Board as listed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Chair: $25,000</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Chair: $15,000</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Nominating and Governance Chair: $10,000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101" w:name="page102"/>
    <w:bookmarkEnd w:id="101"/>
    <w:p>
      <w:pPr>
        <w:jc w:val="both"/>
        <w:ind w:firstLine="656"/>
        <w:spacing w:after="0" w:line="215" w:lineRule="auto"/>
        <w:tabs>
          <w:tab w:leader="none" w:pos="1293"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Equity Award Grant</w:t>
      </w:r>
      <w:r>
        <w:rPr>
          <w:rFonts w:ascii="Times New Roman" w:cs="Times New Roman" w:eastAsia="Times New Roman" w:hAnsi="Times New Roman"/>
          <w:sz w:val="18"/>
          <w:szCs w:val="18"/>
          <w:color w:val="auto"/>
        </w:rPr>
        <w:t>. Without any further action by the Board, at the close of business on the date of each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of the Company following the Effective Date (each, an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each person who is then a Non-Employee Director will automatically be granted Restricted Stock Units equal to (A) $185,000, divided by (B) the Fair Market Value of a share of Common Stock on the date of the applicable Annual Meeting (each, an “</w:t>
      </w: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A Non-Employee Director who has been elected or appointed for the first time to be a Non-Employee Director after the Annual Meeting (a “</w:t>
      </w:r>
      <w:r>
        <w:rPr>
          <w:rFonts w:ascii="Times New Roman" w:cs="Times New Roman" w:eastAsia="Times New Roman" w:hAnsi="Times New Roman"/>
          <w:sz w:val="18"/>
          <w:szCs w:val="18"/>
          <w:b w:val="1"/>
          <w:bCs w:val="1"/>
          <w:color w:val="auto"/>
        </w:rPr>
        <w:t>New Director</w:t>
      </w:r>
      <w:r>
        <w:rPr>
          <w:rFonts w:ascii="Times New Roman" w:cs="Times New Roman" w:eastAsia="Times New Roman" w:hAnsi="Times New Roman"/>
          <w:sz w:val="18"/>
          <w:szCs w:val="18"/>
          <w:color w:val="auto"/>
        </w:rPr>
        <w:t>”) will receive a pro-rated Annual Grant (I) the value of which will be equal to the product of (1) the Annual Grant value by (2) a fraction, the numerator of which will be equal to the number of days in the period beginning on the date the New Director was elected or appointed to the date of the next subsequent Annual Meeting (the “</w:t>
      </w:r>
      <w:r>
        <w:rPr>
          <w:rFonts w:ascii="Times New Roman" w:cs="Times New Roman" w:eastAsia="Times New Roman" w:hAnsi="Times New Roman"/>
          <w:sz w:val="18"/>
          <w:szCs w:val="18"/>
          <w:b w:val="1"/>
          <w:bCs w:val="1"/>
          <w:color w:val="auto"/>
        </w:rPr>
        <w:t>Pro-Rated Annual Grant</w:t>
      </w:r>
      <w:r>
        <w:rPr>
          <w:rFonts w:ascii="Times New Roman" w:cs="Times New Roman" w:eastAsia="Times New Roman" w:hAnsi="Times New Roman"/>
          <w:sz w:val="18"/>
          <w:szCs w:val="18"/>
          <w:color w:val="auto"/>
        </w:rPr>
        <w:t>”) and (ii) the number of RSUs covered by such pro-rated Annual Grant which will be equal to (1) the Pro-Rated Annual Grant divided by (2) the Fair Market Value of a share of Common Stock on the date of grant. Each Annual Grant will fully vest on the earlier of (1) the first anniversary of the applicable grant date and (2) the date of the first Annual Meeting following the applicable grant date, subject to the Non-Employee Director’s continuous service as a Director through the vesting date.</w:t>
      </w:r>
    </w:p>
    <w:p>
      <w:pPr>
        <w:spacing w:after="0" w:line="157" w:lineRule="exact"/>
        <w:rPr>
          <w:rFonts w:ascii="Times New Roman" w:cs="Times New Roman" w:eastAsia="Times New Roman" w:hAnsi="Times New Roman"/>
          <w:sz w:val="18"/>
          <w:szCs w:val="18"/>
          <w:b w:val="1"/>
          <w:bCs w:val="1"/>
          <w:color w:val="auto"/>
        </w:rPr>
      </w:pPr>
    </w:p>
    <w:p>
      <w:pPr>
        <w:jc w:val="both"/>
        <w:ind w:firstLine="1304"/>
        <w:spacing w:after="0" w:line="232" w:lineRule="auto"/>
        <w:tabs>
          <w:tab w:leader="none" w:pos="1938"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Notwithstanding the foregoing, all unvested equity awards granted pursuant to Section (c) will fully vest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 Change in Control if the successor or acquiring company does not assume or provide a substitute for the awards in connection with the Change in Control.</w:t>
      </w:r>
    </w:p>
    <w:p>
      <w:pPr>
        <w:spacing w:after="0" w:line="155" w:lineRule="exact"/>
        <w:rPr>
          <w:rFonts w:ascii="Times New Roman" w:cs="Times New Roman" w:eastAsia="Times New Roman" w:hAnsi="Times New Roman"/>
          <w:sz w:val="18"/>
          <w:szCs w:val="18"/>
          <w:b w:val="1"/>
          <w:bCs w:val="1"/>
          <w:color w:val="auto"/>
        </w:rPr>
      </w:pPr>
    </w:p>
    <w:p>
      <w:pPr>
        <w:ind w:firstLine="656"/>
        <w:spacing w:after="0" w:line="255" w:lineRule="auto"/>
        <w:tabs>
          <w:tab w:leader="none" w:pos="128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or Disability</w:t>
      </w:r>
      <w:r>
        <w:rPr>
          <w:rFonts w:ascii="Times New Roman" w:cs="Times New Roman" w:eastAsia="Times New Roman" w:hAnsi="Times New Roman"/>
          <w:sz w:val="18"/>
          <w:szCs w:val="18"/>
          <w:color w:val="auto"/>
        </w:rPr>
        <w:t>. Notwithstanding the foregoing, equity awards granted to Non-Employee Directors pursuant to the Policy will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upon such Non-Employee Director’s death or termination of service as a Director due to disability.</w:t>
      </w:r>
    </w:p>
    <w:p>
      <w:pPr>
        <w:spacing w:after="0" w:line="140" w:lineRule="exact"/>
        <w:rPr>
          <w:rFonts w:ascii="Times New Roman" w:cs="Times New Roman" w:eastAsia="Times New Roman" w:hAnsi="Times New Roman"/>
          <w:sz w:val="18"/>
          <w:szCs w:val="18"/>
          <w:b w:val="1"/>
          <w:bCs w:val="1"/>
          <w:color w:val="auto"/>
        </w:rPr>
      </w:pPr>
    </w:p>
    <w:p>
      <w:pPr>
        <w:ind w:firstLine="1304"/>
        <w:spacing w:after="0" w:line="239" w:lineRule="auto"/>
        <w:tabs>
          <w:tab w:leader="none" w:pos="1938"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Terms</w:t>
      </w:r>
      <w:r>
        <w:rPr>
          <w:rFonts w:ascii="Times New Roman" w:cs="Times New Roman" w:eastAsia="Times New Roman" w:hAnsi="Times New Roman"/>
          <w:sz w:val="18"/>
          <w:szCs w:val="18"/>
          <w:color w:val="auto"/>
        </w:rPr>
        <w:t>. The remaining terms and conditions of each Restricted Stock Unit award will be as set forth in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Restricted Stock Unit award agreement for Directors, in the form adopted from time to time by the Board.</w:t>
      </w:r>
    </w:p>
    <w:p>
      <w:pPr>
        <w:spacing w:after="0" w:line="168"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 Limit</w:t>
      </w:r>
    </w:p>
    <w:p>
      <w:pPr>
        <w:spacing w:after="0" w:line="18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Notwithstanding anything herein to the contrary, the cash and equity compensation each Non-Employee Director is eligible to receive under this Policy (or otherwise) will be subject to the limits set forth in Section 12 of the Plan.</w:t>
      </w:r>
    </w:p>
    <w:p>
      <w:pPr>
        <w:spacing w:after="0" w:line="168" w:lineRule="exact"/>
        <w:rPr>
          <w:sz w:val="20"/>
          <w:szCs w:val="20"/>
          <w:color w:val="auto"/>
        </w:rPr>
      </w:pPr>
    </w:p>
    <w:p>
      <w:pPr>
        <w:ind w:left="1020" w:hanging="364"/>
        <w:spacing w:after="0"/>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18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The Company will reimburse each Non-Employee Director for ordinary, necessary and reasonable out-of-pocket travel expenses to cover in-person attendance at and participation in Board and committee meetings, subject to the Non-Employee Director submitting to the Company appropriate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substantiating such expenses in accordance with the Company’s travel and expense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6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THIS EXECUTIVE SEVERANCE AGREEMENT </w:t>
      </w:r>
      <w:r>
        <w:rPr>
          <w:rFonts w:ascii="Times New Roman" w:cs="Times New Roman" w:eastAsia="Times New Roman" w:hAnsi="Times New Roman"/>
          <w:sz w:val="18"/>
          <w:szCs w:val="18"/>
          <w:color w:val="auto"/>
        </w:rPr>
        <w:t>(this “Agreement”) is made and entered into as of the 15th day of November,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by and between Amkor Technology, Inc., a Delaware corporation (the “Company”), and Giel Rutten (the “Executive”).</w:t>
      </w:r>
    </w:p>
    <w:p>
      <w:pPr>
        <w:spacing w:after="0" w:line="16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and the Company desire to enter into this Agreement to provide the Executive with security in the event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terminations and to better enable the Executive to devote Executive’s best efforts to the business of the Company.</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for the foregoing premises, and the mutual covenants, terms and conditions set forth herein,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and intending to be legally bound hereby, the Company and Executive agree as follows:</w:t>
      </w:r>
    </w:p>
    <w:p>
      <w:pPr>
        <w:spacing w:after="0" w:line="14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1. 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effective from the Effective Date.</w:t>
      </w:r>
    </w:p>
    <w:p>
      <w:pPr>
        <w:spacing w:after="0" w:line="19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2. Definitions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used in this Agreement, the following terms will have the meanings set forth below.</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 xml:space="preserve">Affiliate </w:t>
      </w:r>
      <w:r>
        <w:rPr>
          <w:rFonts w:ascii="Times New Roman" w:cs="Times New Roman" w:eastAsia="Times New Roman" w:hAnsi="Times New Roman"/>
          <w:sz w:val="18"/>
          <w:szCs w:val="18"/>
          <w:color w:val="auto"/>
        </w:rPr>
        <w:t>means a corporation or other entity controlled by, controlling or under common control with the Company, including, without limitation,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any corporation partnership, joint venture or other entity during any period in which at least a fifty percent (50%) voting or profits interest is owned, directly or indirectly, by the Company or any successor to the Company.</w:t>
      </w:r>
    </w:p>
    <w:p>
      <w:pPr>
        <w:spacing w:after="0" w:line="15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means the salary of record paid to an Executive as annual salary, excluding amounts received under incentive or other bonus plans (including, without limitation, the Bonus Plan), whether or not deferred.</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 xml:space="preserve">Board </w:t>
      </w:r>
      <w:r>
        <w:rPr>
          <w:rFonts w:ascii="Times New Roman" w:cs="Times New Roman" w:eastAsia="Times New Roman" w:hAnsi="Times New Roman"/>
          <w:sz w:val="17"/>
          <w:szCs w:val="17"/>
          <w:color w:val="auto"/>
        </w:rPr>
        <w:t>means the Board of Directors of the Company.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 xml:space="preserve">Bonus Plan </w:t>
      </w:r>
      <w:r>
        <w:rPr>
          <w:rFonts w:ascii="Times New Roman" w:cs="Times New Roman" w:eastAsia="Times New Roman" w:hAnsi="Times New Roman"/>
          <w:sz w:val="17"/>
          <w:szCs w:val="17"/>
          <w:color w:val="auto"/>
        </w:rPr>
        <w:t>means the Company’s Amended and Restated Executive Incentive Bonus Plan, or any successor plan thereto.</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if the Executive is party to an employment or similar agreement that contains a definition of “Cause,” the definition set forth in such agreement, and, in every other case, “Cause” means:</w:t>
      </w:r>
    </w:p>
    <w:p>
      <w:pPr>
        <w:spacing w:after="0" w:line="158" w:lineRule="exact"/>
        <w:rPr>
          <w:sz w:val="20"/>
          <w:szCs w:val="20"/>
          <w:color w:val="auto"/>
        </w:rPr>
      </w:pPr>
    </w:p>
    <w:p>
      <w:pPr>
        <w:ind w:left="660" w:right="20" w:firstLine="644"/>
        <w:spacing w:after="0" w:line="250" w:lineRule="auto"/>
        <w:tabs>
          <w:tab w:leader="none" w:pos="19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commission of, or guilty plea or plea of no contest to, a felony (or a crime of similar magnitude under applicable laws outside the United States) or any crime that involves moral turpitude;</w:t>
      </w:r>
    </w:p>
    <w:p>
      <w:pPr>
        <w:spacing w:after="0" w:line="149" w:lineRule="exact"/>
        <w:rPr>
          <w:rFonts w:ascii="Times New Roman" w:cs="Times New Roman" w:eastAsia="Times New Roman" w:hAnsi="Times New Roman"/>
          <w:sz w:val="18"/>
          <w:szCs w:val="18"/>
          <w:color w:val="auto"/>
        </w:rPr>
      </w:pPr>
    </w:p>
    <w:p>
      <w:pPr>
        <w:ind w:left="660" w:firstLine="644"/>
        <w:spacing w:after="0" w:line="237" w:lineRule="auto"/>
        <w:tabs>
          <w:tab w:leader="none" w:pos="19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the Executive that constitutes fraud or embezzlement or any acts of intentional dishonesty in relation to the Executive’s duties to the Company;</w:t>
      </w:r>
    </w:p>
    <w:p>
      <w:pPr>
        <w:spacing w:after="0" w:line="171" w:lineRule="exact"/>
        <w:rPr>
          <w:rFonts w:ascii="Times New Roman" w:cs="Times New Roman" w:eastAsia="Times New Roman" w:hAnsi="Times New Roman"/>
          <w:sz w:val="18"/>
          <w:szCs w:val="18"/>
          <w:color w:val="auto"/>
        </w:rPr>
      </w:pPr>
    </w:p>
    <w:p>
      <w:pPr>
        <w:ind w:left="660" w:firstLine="644"/>
        <w:spacing w:after="0" w:line="237" w:lineRule="auto"/>
        <w:tabs>
          <w:tab w:leader="none" w:pos="19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engaged in gross negligence or intentional misconduct which causes, or in the reasonable judgment of the Committee, is reasonably likely to cause, either reputational or economic harm to the Company or its Affiliates; or</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4" w:lineRule="auto"/>
        <w:tabs>
          <w:tab w:leader="none" w:pos="19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the Executive’s obligations under this Agreement (including, without limitation, Article 4 hereof), any employment or similar agreement or any written Company policy, including any code of conduct, which is not cured, if curable, within ten (10) days after the Committee notifies the Executive of such breach (which notice specifies in reasonable detail the grounds constituting Cause).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 xml:space="preserve">Change in Control </w:t>
      </w:r>
      <w:r>
        <w:rPr>
          <w:rFonts w:ascii="Times New Roman" w:cs="Times New Roman" w:eastAsia="Times New Roman" w:hAnsi="Times New Roman"/>
          <w:sz w:val="17"/>
          <w:szCs w:val="17"/>
          <w:color w:val="auto"/>
        </w:rPr>
        <w:t>has the meaning set forth in the Equity Incentive Plan.</w:t>
      </w:r>
    </w:p>
    <w:p>
      <w:pPr>
        <w:sectPr>
          <w:pgSz w:w="11900" w:h="16838" w:orient="portrait"/>
          <w:cols w:equalWidth="0" w:num="1">
            <w:col w:w="11240"/>
          </w:cols>
          <w:pgMar w:left="320" w:top="1400" w:right="339" w:bottom="1440" w:gutter="0" w:footer="0" w:header="0"/>
        </w:sectPr>
      </w:pPr>
    </w:p>
    <w:bookmarkStart w:id="103" w:name="page104"/>
    <w:bookmarkEnd w:id="10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u w:val="single" w:color="auto"/>
          <w:color w:val="auto"/>
        </w:rPr>
        <w:t xml:space="preserve">COBRA </w:t>
      </w:r>
      <w:r>
        <w:rPr>
          <w:rFonts w:ascii="Times New Roman" w:cs="Times New Roman" w:eastAsia="Times New Roman" w:hAnsi="Times New Roman"/>
          <w:sz w:val="17"/>
          <w:szCs w:val="17"/>
          <w:color w:val="auto"/>
        </w:rPr>
        <w:t>means the Consolidated Omnibus Budget Reconciliation Act of 1986, as amended from time to time.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u w:val="single" w:color="auto"/>
          <w:color w:val="auto"/>
        </w:rPr>
        <w:t xml:space="preserve">Code </w:t>
      </w:r>
      <w:r>
        <w:rPr>
          <w:rFonts w:ascii="Times New Roman" w:cs="Times New Roman" w:eastAsia="Times New Roman" w:hAnsi="Times New Roman"/>
          <w:sz w:val="17"/>
          <w:szCs w:val="17"/>
          <w:color w:val="auto"/>
        </w:rPr>
        <w:t>means the Internal Revenue Code of 1986, as amended from time to time.</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Compensation Committee of the Board or any other committee of the Board appointed to perform the functions of the Compensation Committee.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u w:val="single" w:color="auto"/>
          <w:color w:val="auto"/>
        </w:rPr>
        <w:t xml:space="preserve">Company </w:t>
      </w:r>
      <w:r>
        <w:rPr>
          <w:rFonts w:ascii="Times New Roman" w:cs="Times New Roman" w:eastAsia="Times New Roman" w:hAnsi="Times New Roman"/>
          <w:sz w:val="17"/>
          <w:szCs w:val="17"/>
          <w:color w:val="auto"/>
        </w:rPr>
        <w:t>means Amkor Technology, Inc., a Delaware corporation, or any successor thereto as provided in Article 10 herein.</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if the Executive is party to an employment agreement that contains a definition of “Disability,” the definition set forth in such agreement, and, in every other case, “Disability” means the inability of the Executive to engage in any substantial gainful activity by reason of any medically determinable physical or mental impairment which can be expected to result in death or that has lasted or can be expected to last for a continuous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period of not less than twelve (12) months, as provided in Section 22(e)(3) and 409A(A)(2)(C)(i) of the Code, and will be determined by the Committee on the basis of such medical evidence as the Committee deemed warranted under the circumstances.</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means, as applicable, the Amkor Technology, Inc. Second Amended and Restated 2007 Equity Incentive Plan, the Amkor Technology, Inc. 2021 Equity Incentive Plan, or any successor plan thereto, in each case, as amended, restated and/or supplemented from time to time.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 xml:space="preserve">Exchange Act </w:t>
      </w:r>
      <w:r>
        <w:rPr>
          <w:rFonts w:ascii="Times New Roman" w:cs="Times New Roman" w:eastAsia="Times New Roman" w:hAnsi="Times New Roman"/>
          <w:sz w:val="17"/>
          <w:szCs w:val="17"/>
          <w:color w:val="auto"/>
        </w:rPr>
        <w:t>means the Securities Exchange Act of 1934, as amended from time to time, and any successor thereto.</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 xml:space="preserve">Global Mobility Policy </w:t>
      </w:r>
      <w:r>
        <w:rPr>
          <w:rFonts w:ascii="Times New Roman" w:cs="Times New Roman" w:eastAsia="Times New Roman" w:hAnsi="Times New Roman"/>
          <w:sz w:val="17"/>
          <w:szCs w:val="17"/>
          <w:color w:val="auto"/>
        </w:rPr>
        <w:t>means the Company’s Global Mobility Policy and Procedure, as in effect from time to time.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change in Executive’s title as President and Chief Executive Officer or a material reduction in the Executive’s authority, duties or responsibilities; (ii) a material reduction in the Executive’s Base Salary or target bonus opportunity under the Bonus Plan (in each case, other than a reduction that is imposed proportionately on substantially all executive officers); (iii) the Company requires the Executive to report to anyone other than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Board; or (iv) a relocation of the Executive’s principal place of employment, without the Executive’s express written approval, to a location more than fifty (50) miles from the location at which the Executive performs his duties as of the Effective Date. No termination of employment by the Executive shall be treated as being for Good Reason unless the Executive provides a Notice of Termination pursuant to Section 3.5 within sixty (60) days after the time that</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facts or circumstances constituting Good Reason initially arise and provides the Company a cure period of thirty (30) days following the Company’s receipt of such notice, there is no cure and such resignation is effective prior to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end of such cure period.</w:t>
      </w:r>
    </w:p>
    <w:p>
      <w:pPr>
        <w:spacing w:after="0" w:line="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means a written notice which indicates the specific termination provision in this Agreement relied upon and sets forth in reasonable detail the facts and circumstances claimed to provide a basis for termination of the Executive’s employment under the provision so indicated.</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has the meaning ascribed to such term in Section 3(a)(9) of the Exchange Act and used in Sections 13(d) and 14(d) thereof, including a “group” as provided in Section 13(d).</w:t>
      </w:r>
    </w:p>
    <w:p>
      <w:pPr>
        <w:spacing w:after="0" w:line="168" w:lineRule="exact"/>
        <w:rPr>
          <w:sz w:val="20"/>
          <w:szCs w:val="20"/>
          <w:color w:val="auto"/>
        </w:rPr>
      </w:pPr>
    </w:p>
    <w:p>
      <w:pPr>
        <w:jc w:val="both"/>
        <w:spacing w:after="0" w:line="191"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Qualifying CIC Termination</w:t>
      </w:r>
      <w:r>
        <w:rPr>
          <w:rFonts w:ascii="Times New Roman" w:cs="Times New Roman" w:eastAsia="Times New Roman" w:hAnsi="Times New Roman"/>
          <w:sz w:val="18"/>
          <w:szCs w:val="18"/>
          <w:color w:val="auto"/>
        </w:rPr>
        <w:t xml:space="preserve"> shall occur if, during the period beginning on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the date that a Change in Control occurs 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(i) by the Company for reasons other than Cause, Disability or death or (ii) by the Executive for Good Reason.</w:t>
      </w:r>
    </w:p>
    <w:p>
      <w:pPr>
        <w:spacing w:after="0" w:line="170" w:lineRule="exact"/>
        <w:rPr>
          <w:sz w:val="20"/>
          <w:szCs w:val="20"/>
          <w:color w:val="auto"/>
        </w:rPr>
      </w:pPr>
    </w:p>
    <w:p>
      <w:pPr>
        <w:jc w:val="both"/>
        <w:spacing w:after="0" w:line="191"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Qualifying Non-CIC Termination</w:t>
      </w:r>
      <w:r>
        <w:rPr>
          <w:rFonts w:ascii="Times New Roman" w:cs="Times New Roman" w:eastAsia="Times New Roman" w:hAnsi="Times New Roman"/>
          <w:sz w:val="18"/>
          <w:szCs w:val="18"/>
          <w:color w:val="auto"/>
        </w:rPr>
        <w:t xml:space="preserve"> shall occur if, any time other than during the period beginning on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the date that a Change in Control occurs 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(i) by the Company for reasons other than Cause, Disability or death or (ii) by the Executive for Good Reason.</w:t>
      </w:r>
    </w:p>
    <w:p>
      <w:pPr>
        <w:spacing w:after="0" w:line="17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1.20.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xml:space="preserve"> means the Executive’s termination of employment with the Company, its Affiliates and with each member of the controlled group (within the meaning of Sections 414(b) or (c) of the Code) of which the Company is a member. An Executive will not be treated as having a Separation from Service during any period the Executive’s employment relationship continues, such as a result of a leave of absence, and whether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04" w:name="page105"/>
    <w:bookmarkEnd w:id="104"/>
    <w:p>
      <w:pPr>
        <w:spacing w:after="0" w:line="222" w:lineRule="auto"/>
        <w:rPr>
          <w:sz w:val="20"/>
          <w:szCs w:val="20"/>
          <w:color w:val="auto"/>
        </w:rPr>
      </w:pPr>
      <w:r>
        <w:rPr>
          <w:rFonts w:ascii="Times New Roman" w:cs="Times New Roman" w:eastAsia="Times New Roman" w:hAnsi="Times New Roman"/>
          <w:sz w:val="18"/>
          <w:szCs w:val="18"/>
          <w:color w:val="auto"/>
        </w:rPr>
        <w:t>Separation from Service has occurred shall be determined by the Committee (on a basis consistent with the regulations under Section 409A of the Code) after consideration of all the facts and circumstances, including whether either no further services are to be performed or there is a reasonably anticipated</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permanent and substantial decrease (e.g., 80% or more) in the level of services to be performed (and the related amount of compensation to be received for such services) below the level of services previously performed (and compensation previously received).</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auto"/>
        </w:rPr>
        <w:t xml:space="preserve">Severance Benefits </w:t>
      </w:r>
      <w:r>
        <w:rPr>
          <w:rFonts w:ascii="Times New Roman" w:cs="Times New Roman" w:eastAsia="Times New Roman" w:hAnsi="Times New Roman"/>
          <w:sz w:val="17"/>
          <w:szCs w:val="17"/>
          <w:color w:val="auto"/>
        </w:rPr>
        <w:t>means the payment of severance compensation as provided in Section 3.1 or 3.2 herein.</w:t>
      </w:r>
    </w:p>
    <w:p>
      <w:pPr>
        <w:spacing w:after="0" w:line="19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3. Severance Benefits</w:t>
      </w:r>
    </w:p>
    <w:p>
      <w:pPr>
        <w:spacing w:after="0" w:line="18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Severance Benefits in Connection with a Change in Control</w:t>
      </w:r>
      <w:r>
        <w:rPr>
          <w:rFonts w:ascii="Times New Roman" w:cs="Times New Roman" w:eastAsia="Times New Roman" w:hAnsi="Times New Roman"/>
          <w:sz w:val="18"/>
          <w:szCs w:val="18"/>
          <w:color w:val="auto"/>
        </w:rPr>
        <w:t xml:space="preserve">. If a Qualifying CIC Termination of the Executive occurs, and provided that the Executive executes and does not revoke the release of claims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“Release”) and such Release becomes effective (without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8"/>
          <w:szCs w:val="18"/>
          <w:color w:val="auto"/>
        </w:rPr>
        <w:t>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 following payments and benefits:</w:t>
      </w:r>
    </w:p>
    <w:p>
      <w:pPr>
        <w:spacing w:after="0" w:line="158" w:lineRule="exact"/>
        <w:rPr>
          <w:sz w:val="20"/>
          <w:szCs w:val="20"/>
          <w:color w:val="auto"/>
        </w:rPr>
      </w:pPr>
    </w:p>
    <w:p>
      <w:pPr>
        <w:jc w:val="both"/>
        <w:ind w:left="660" w:firstLine="644"/>
        <w:spacing w:after="0" w:line="231" w:lineRule="auto"/>
        <w:tabs>
          <w:tab w:leader="none" w:pos="19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two (2) times the sum of (i) the Executive’s Base Salary immediately prior to the Qualifying CIC Termination and (ii)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the amount of premiums that the Executive and his or her eligible dependents would be required to pay for continued coverage under the Company’s group health plans pursuant to COBRA for 18 months,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3" w:lineRule="auto"/>
        <w:tabs>
          <w:tab w:leader="none" w:pos="19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the Change in Control shall become 100% vested as of the later of the date of the Qualifying CIC Termination and the Change in Control (but immediately prior to the consummation thereof), and any such equity award that is a stock option shall remain exercisable until the earlier of (i) twenty-four (24) months following the date of such Qualifying CIC Termination, or (ii) the original expiration date of such award (subject to the treatment of such equity award in connection with such Change in Control); and</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the Change in Control shall remain subject to the provisions of the applicable award agreement and the Equity Incentive Plan.</w:t>
      </w:r>
    </w:p>
    <w:p>
      <w:pPr>
        <w:spacing w:after="0" w:line="158" w:lineRule="exact"/>
        <w:rPr>
          <w:sz w:val="20"/>
          <w:szCs w:val="20"/>
          <w:color w:val="auto"/>
        </w:rPr>
      </w:pPr>
    </w:p>
    <w:p>
      <w:pPr>
        <w:spacing w:after="0" w:line="19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Severance Benefits Not in Connection with a Change in Control</w:t>
      </w:r>
      <w:r>
        <w:rPr>
          <w:rFonts w:ascii="Times New Roman" w:cs="Times New Roman" w:eastAsia="Times New Roman" w:hAnsi="Times New Roman"/>
          <w:sz w:val="18"/>
          <w:szCs w:val="18"/>
          <w:color w:val="auto"/>
        </w:rPr>
        <w:t>. If a Qualifying Non-CIC Termination of the Executive occurs, and provided that the Executive executes and does not revoke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Separation from Service, the Executive will be entitled to receive from the Company the following payments and benefits:</w:t>
      </w:r>
    </w:p>
    <w:p>
      <w:pPr>
        <w:spacing w:after="0" w:line="165" w:lineRule="exact"/>
        <w:rPr>
          <w:sz w:val="20"/>
          <w:szCs w:val="20"/>
          <w:color w:val="auto"/>
        </w:rPr>
      </w:pPr>
    </w:p>
    <w:p>
      <w:pPr>
        <w:jc w:val="both"/>
        <w:ind w:left="660" w:firstLine="644"/>
        <w:spacing w:after="0" w:line="224" w:lineRule="auto"/>
        <w:tabs>
          <w:tab w:leader="none" w:pos="19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and one-half (1.5) times the sum of (i) the Executive’s Base Salary immediately prior to the Qualifying Non-CIC Termination and (ii) the Executive’s target bonus amount under the Bonus Plan for the year of termination, payable in substantially equal bi-weekly installments for a period of eighteen (18) months, beginning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actual bonus under the Bonus Plan for the year of termination, if any, the Executive would have been paid for such year absent such termination, but determined without respect to any discretionary component and the non-discretionary components shall be reweighted proportionally, payable on the latest of (i) the date on which the Company pays bonuses for such year generally, (ii) the date on which the Release becomes effective, and (iii) such later date as may be required to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05" w:name="page106"/>
    <w:bookmarkEnd w:id="105"/>
    <w:p>
      <w:pPr>
        <w:jc w:val="both"/>
        <w:ind w:left="660" w:firstLine="644"/>
        <w:spacing w:after="0" w:line="224" w:lineRule="auto"/>
        <w:tabs>
          <w:tab w:leader="none" w:pos="19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premiums that the Executive and the Executive’s eligible dependents would be required to pay for continued coverage under the Company’s group health plans pursuant to COBRA for eighteen (18) months, payable in substantially equal bi-weekly installments for a period of eighteen (18) months, beginning on the first payroll date after the Release becomes effective or such later date as may be required to comply with Section 409A of the Code; and</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2" w:lineRule="auto"/>
        <w:tabs>
          <w:tab w:leader="none" w:pos="19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such Qualifying Non-CIC Termination that would have vested as a result of normal time-based vesting within eighteen</w:t>
      </w:r>
    </w:p>
    <w:p>
      <w:pPr>
        <w:spacing w:after="0" w:line="1" w:lineRule="exact"/>
        <w:rPr>
          <w:rFonts w:ascii="Times New Roman" w:cs="Times New Roman" w:eastAsia="Times New Roman" w:hAnsi="Times New Roman"/>
          <w:sz w:val="18"/>
          <w:szCs w:val="18"/>
          <w:color w:val="auto"/>
        </w:rPr>
      </w:pPr>
    </w:p>
    <w:p>
      <w:pPr>
        <w:jc w:val="both"/>
        <w:ind w:left="660" w:hanging="4"/>
        <w:spacing w:after="0" w:line="223"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such Qualifying Non-CIC Termination shall become 100% vested as of the date of the Qualifying Non-CIC Termination, and any such equity award that is a stock option shall remain exercisable until the earlier of (i) twenty-four (24) months following the date of such Qualifying Non-CIC Termination, or (ii) the original expiration date of such award; and</w:t>
      </w:r>
    </w:p>
    <w:p>
      <w:pPr>
        <w:spacing w:after="0" w:line="159"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such Qualifying Non-CIC Termination shall remain subject to the provisions of the applicable award agreement and the Equity Incentive Plan.</w:t>
      </w:r>
    </w:p>
    <w:p>
      <w:pPr>
        <w:spacing w:after="0" w:line="15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Other Terminations of Employment</w:t>
      </w:r>
      <w:r>
        <w:rPr>
          <w:rFonts w:ascii="Times New Roman" w:cs="Times New Roman" w:eastAsia="Times New Roman" w:hAnsi="Times New Roman"/>
          <w:sz w:val="18"/>
          <w:szCs w:val="18"/>
          <w:color w:val="auto"/>
        </w:rPr>
        <w:t>. For the avoidance of doubt, if, at any time, the Executive’s employment is terminated and such termination of employment is not a Qualifying CIC Termination or a Qualifying Non-CIC Termination, the Executive will not be entitled to the Severance Benefits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Section 3.1 or 3.2.</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With respect to any Separation from Service, the Company will pay the Executive an amount equal to: (i) unpaid Base Salary earned prior to the date of the Executive’s Separation from Service; (ii) unused vacation time accrued prior to the date of the Executive’s Separation from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and (iii) vested benefits earned under any employee benefit plan or program, in accordance with the terms and conditions thereof.</w:t>
      </w:r>
    </w:p>
    <w:p>
      <w:pPr>
        <w:spacing w:after="0" w:line="1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employment by the Company or by the Executive for Good Reason will be communicated by a Notice of Termination.</w:t>
      </w:r>
    </w:p>
    <w:p>
      <w:pPr>
        <w:spacing w:after="0" w:line="16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4. Return of Property; Restrictive Covenants; Cooperation</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On or before the Executive’s Separation from Service, the Executive shall return to the Company all files, memoranda, documents, records, copies of the foregoing, Company-provided credit cards, keys, building passes, security passes, access or identification cards, and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Company property in the Executive’s possession or control. To the extent the Executive subsequently discovers that any property or data identified above is still in the Executive’s possession, custody or control after the Executive’s Separation from Service, the Executive shall return all such property and data to the Company as soon as practicable, but in no event later than ten (10) days after making such discovery. On or before the Executive’s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Separation from Service, the Executive shall clear all expense accounts, repay everything the Executive owes to the Company or any Affiliate thereof, pay all amounts the Executive owes on Company-provided credit cards or accounts (such as cell phone accounts), and cancel or personally assume any such credit cards or accounts. On and after the Executive’s Separation from Service, the Executive shall not incur any expenses, obligations, or liabilities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Company or any of its Affiliates.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Beginning on the date hereof and continuing for eighteen (18) months following the Executive’s Separation from Service (the “Restriction Period”), the Executive shall not, without the express prior written consent of the Committee, engage in or carry on, directly or indirectly,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whether as an advisor, principal, agent, partner, officer, director, employee, stockholder, associate or consultant to any Person, or any other business entity, the business of outsourced semiconductor packaging or test services anywhere in the United States or any other country in which the Company conducts business; provided that ownership by the Executive of Company securities or of less than a five percent (5%) publicly traded equity interest in a public company shall not be a breach of this Section 4.2.</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Restriction Period, the Executive shall not, without the express prior written consent of the Board, directly or indirectly, for the Executive or on behalf of any other Person or any other business entity, (i) solicit or encourage any customer, vendor, client or prospective customer, vendor or client (or anyone who was a customer, vendor or client during the Restriction Period) to cease any relationship with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or any of its Affiliates or (ii) solicit or encourage any employee or consultant of the Company or any of its Affiliates (or anyone who was an employee or consultant of the Company or any of its Affiliates during the Restriction Period) to leave the employment of or cease to perform services for the Company or any of its Affiliates; provided that this Section 4.3 shall not prohibit any general public advertisement or general solicitation for personnel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specifically directed at any employee or consultant of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06" w:name="page107"/>
    <w:bookmarkEnd w:id="106"/>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1.30.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Beginning on the date hereof and at all times hereafter, the Executive shall not make any public statement that is in any way disparaging, derogatory or defamatory regarding the Company, any of its Affiliates or any of their respective officers, directors, employees, consultants,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reputations, products, operations, procedures, policies or services, which is reasonably likely to (i) damage materially the reputation of the Company or any of its Affiliates or (ii) interfere materially with the contracts or business relationships of the Company or any of its Affiliates. “Public statements” mean any statement, whether written or oral, made in any public forum, including in any social media or website. However, nothing in this Section 4.4 shall prohibit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Executive from testifying truthfully in any forum or contacting, cooperating with or providing truthful information to any government agency or commission.</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Executive’s Separation from Service, the Executive shall provide reasonable assistance to and cooperate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and its Affiliates as to any claims, controversies, disputes, or complaints of which the Executive has knowledge or that may relate to the Executive or the Executive’s employment or other relationships with the Company or any of its Affiliates. Such cooperation includes but is not limited to providing the Company and its Affiliates with all information known to the Executive related to the foregoing, meeting with counsel, and appearing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giving testimony in any forum. The Company will reimburse the Executive for any reasonable out-of-pocket expenses incurred by the Executive in providing assistance under this Section 4.5.</w:t>
      </w:r>
    </w:p>
    <w:p>
      <w:pPr>
        <w:spacing w:after="0" w:line="15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5. Excise Tax Under Section 4999 of the Code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Excess Parachute Payments</w:t>
      </w:r>
      <w:r>
        <w:rPr>
          <w:rFonts w:ascii="Times New Roman" w:cs="Times New Roman" w:eastAsia="Times New Roman" w:hAnsi="Times New Roman"/>
          <w:sz w:val="18"/>
          <w:szCs w:val="18"/>
          <w:color w:val="auto"/>
        </w:rPr>
        <w:t>. Notwithstanding any provision of this Agreement to the contrary, if any payment or benefit the Executive would receive pursuant to this Agreement or otherwise (collectively, the “Payments”) would constitute a “parachute payment” within the meaning of Section 280G of the Code, and, but for this Section 5.1, would be subject to the excise tax imposed by Section 4999 of the Code or any similar or successor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 (the “Excise Tax”),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maximum reduction in federal income taxes which could be obtained from a deduction of such state and local taxes), results in the Executive’s receipt, on an after-tax basis, of the greatest amount of the Payments. Any reduction in the Payments required by this Section 5.1 will be made in the following order:</w:t>
      </w:r>
    </w:p>
    <w:p>
      <w:pPr>
        <w:spacing w:after="0" w:line="1" w:lineRule="exact"/>
        <w:rPr>
          <w:sz w:val="20"/>
          <w:szCs w:val="20"/>
          <w:color w:val="auto"/>
        </w:rPr>
      </w:pPr>
    </w:p>
    <w:p>
      <w:pPr>
        <w:jc w:val="both"/>
        <w:ind w:firstLine="8"/>
        <w:spacing w:after="0" w:line="218" w:lineRule="auto"/>
        <w:tabs>
          <w:tab w:leader="none" w:pos="21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cash payments; (ii) reduction of accelerated vesting of equity awards other than stock options; (iii) reduction of accelerated vesting of stock options; and (iv) reduction of other benefits paid or provided to the Executive. If acceleration of vesting of equity awards is to be reduced, such acceleration of vesting will be cancelled in the reverse order of the date of grant of the Executive’s equity awards. If two or more equity awards are granted on the same date, the accelerated vesting of each award will be reduced on a pro-rata basis.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Determination by Accounting Firm</w:t>
      </w:r>
      <w:r>
        <w:rPr>
          <w:rFonts w:ascii="Times New Roman" w:cs="Times New Roman" w:eastAsia="Times New Roman" w:hAnsi="Times New Roman"/>
          <w:sz w:val="18"/>
          <w:szCs w:val="18"/>
          <w:color w:val="auto"/>
        </w:rPr>
        <w:t>. The professional accounting firm engaged by the Company for general tax purposes as of the day prior to the date of the event that might reasonably be anticipated to result in Payments that would otherwise be subject to the Excise Tax will perform the foregoing calculations. If the firm so engaged by the Company is serving as accountant or auditor for the acquiring company, the Company will appoint a nationally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recognized accounting firm to make the determinations required by Section 5.1. The Company will bear all expenses with respect to the determinations by such firm required to be made by Section 5.1. The Company and the Executive shall furnish such firm such information and documents as the firm may reasonably request to make its required determination. The firm will provide its calculations, together with detailed supporting documentation,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and the Executive as soon as practicable following its engagement. Any good faith determinations of the firm made hereunder will be final, binding and conclusive upon the Company and the Executive.</w:t>
      </w:r>
    </w:p>
    <w:p>
      <w:pPr>
        <w:spacing w:after="0" w:line="15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6. Taxes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The Company will be entitled to withhold from any amounts payable under this Agreement all taxes as it may believe are reasonably required to be withheld (including, without limitation, any United States federal taxes and any other state, city, local or foreign taxes).</w:t>
      </w:r>
    </w:p>
    <w:p>
      <w:pPr>
        <w:spacing w:after="0" w:line="14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Mandatory Deferral Rule</w:t>
      </w:r>
      <w:r>
        <w:rPr>
          <w:rFonts w:ascii="Times New Roman" w:cs="Times New Roman" w:eastAsia="Times New Roman" w:hAnsi="Times New Roman"/>
          <w:sz w:val="18"/>
          <w:szCs w:val="18"/>
          <w:color w:val="auto"/>
        </w:rPr>
        <w:t>. Notwithstanding any other provision of this Agreement to the contrary, any payment that constitutes the deferral of compensation (within the meaning of Treasury Regulation Section 1.409A-1(b)) that is otherwise required to be made to the Executive prior to the day after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date that is six (6) months from the Executive’s Separation from Service shall be accumulated, deferred and paid in a lump sum to the Executive (with interest on the amount deferred from the Executive’s Separation from Service until the day prior to the actual payment at the federal short-term rate on the date of the Executive’s Separation from Service) on the day after the date that is six (6) months from the date of the Executive’s Separation from Service;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07" w:name="page108"/>
    <w:bookmarkEnd w:id="107"/>
    <w:p>
      <w:pPr>
        <w:jc w:val="both"/>
        <w:spacing w:after="0" w:line="237" w:lineRule="auto"/>
        <w:rPr>
          <w:sz w:val="20"/>
          <w:szCs w:val="20"/>
          <w:color w:val="auto"/>
        </w:rPr>
      </w:pPr>
      <w:r>
        <w:rPr>
          <w:rFonts w:ascii="Times New Roman" w:cs="Times New Roman" w:eastAsia="Times New Roman" w:hAnsi="Times New Roman"/>
          <w:sz w:val="18"/>
          <w:szCs w:val="18"/>
          <w:color w:val="auto"/>
        </w:rPr>
        <w:t>Executive dies prior to the expiration of such six (6)-month period, payment to the Executive’s estate shall be made as soon as practicable following the Executive’s death.</w:t>
      </w:r>
    </w:p>
    <w:p>
      <w:pPr>
        <w:spacing w:after="0" w:line="16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7. No Mitigation</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Executive will not be obligated to seek other employment in mitigation of the amounts payable made under any provision of this Agreement, and the obtaining of any such other employment will in no event effect any reduction of the Company’s obligations to make the payments required to be made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this Agreement. Notwithstanding anything in this Agreement to the contrary, if the Severance Benefits are paid under this Agreement, no severance benefits under any program of the Company, other than benefits described in this Agreement, will be paid to the Executive.</w:t>
      </w:r>
    </w:p>
    <w:p>
      <w:pPr>
        <w:spacing w:after="0" w:line="15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8. Relocation</w:t>
      </w:r>
    </w:p>
    <w:p>
      <w:pPr>
        <w:spacing w:after="0" w:line="20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If the Executive is on an expatriate assignment under the Global Mobility Policy and a Qualifying CIC Termination or a Qualifying Non-CIC Termination occurs, then, notwithstanding anything in the Global Mobility Policy to the contrary, the Executive will be eligible for relocation benefits back to the Executive’s home country consistent with those provided under the Global Mobility Policy.</w:t>
      </w:r>
    </w:p>
    <w:p>
      <w:pPr>
        <w:spacing w:after="0" w:line="16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9. Outplacement Assistance</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Following a Qualifying CIC Termination or a Qualifying Non-CIC Termination, the Executive will be reimbursed by the Company for the reasonable costs of outplacement services obtained by the Executive within the six (6)-month period after the Executive’s Separation from Service, upon receipt by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of documentation evidencing the actual cost of such services; provided, however, that reimbursements must be made by the end of the year following the year in which the Separation from Service occurs.</w:t>
      </w:r>
    </w:p>
    <w:p>
      <w:pPr>
        <w:spacing w:after="0" w:line="15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10. Successors and Assignment</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Successors to the Company</w:t>
      </w:r>
      <w:r>
        <w:rPr>
          <w:rFonts w:ascii="Times New Roman" w:cs="Times New Roman" w:eastAsia="Times New Roman" w:hAnsi="Times New Roman"/>
          <w:sz w:val="18"/>
          <w:szCs w:val="18"/>
          <w:color w:val="auto"/>
        </w:rPr>
        <w:t>. The Company will require any successor (whether direct or indirect, by purchase, merger, consolidation, or otherwise) of all or substantially all of the business and/or assets of the Company to expressly assume and agree to perform the Company’s obligations under this Agreement in the same manner and to the same extent that the Company would be required to perform them if no such succession had taken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Assignment by the Executive</w:t>
      </w:r>
      <w:r>
        <w:rPr>
          <w:rFonts w:ascii="Times New Roman" w:cs="Times New Roman" w:eastAsia="Times New Roman" w:hAnsi="Times New Roman"/>
          <w:sz w:val="18"/>
          <w:szCs w:val="18"/>
          <w:color w:val="auto"/>
        </w:rPr>
        <w:t>. This Agreement will inure to the benefit of and be enforceable by the Executive’s personal or legal representatives, executors, administrators, successors, heirs, distributees, devisees, and legatees. If the Executive dies while any amount would still be payable to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Executive hereunder had the Executive survived, all such amounts, unless otherwise provided herein, will be paid to the Executive’s estate at the same time or times that such amounts would have been paid to the Executive hereunder had the Executive survived.</w:t>
      </w:r>
    </w:p>
    <w:p>
      <w:pPr>
        <w:spacing w:after="0" w:line="15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Article 11. Miscellaneous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Employment Status</w:t>
      </w:r>
      <w:r>
        <w:rPr>
          <w:rFonts w:ascii="Times New Roman" w:cs="Times New Roman" w:eastAsia="Times New Roman" w:hAnsi="Times New Roman"/>
          <w:sz w:val="18"/>
          <w:szCs w:val="18"/>
          <w:color w:val="auto"/>
        </w:rPr>
        <w:t>. 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illegal or invalid for any reason, the illegality or invalidity will not affect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remaining parts of this Agreement, and this Agreement will be construed and enforced as if the illegal or invalid provision had not been included. Further, the captions of this Agreement are not part of the provisions hereof and will have no force and effect.</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1.40.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1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Applicable Law and Venue</w:t>
      </w:r>
      <w:r>
        <w:rPr>
          <w:rFonts w:ascii="Times New Roman" w:cs="Times New Roman" w:eastAsia="Times New Roman" w:hAnsi="Times New Roman"/>
          <w:sz w:val="18"/>
          <w:szCs w:val="18"/>
          <w:color w:val="auto"/>
        </w:rPr>
        <w:t>. To the extent not preempted by the laws of the United States, the laws of the State of Arizona will be the controlling law in all matters relating to this Agreement, without regard to the conflicts of law principles of any jurisdiction. The Executive and the Company agree that any action to enforce or interpret this Agreement shall be brought exclusively in a federal or state court of competent jurisdiction in Maricopa County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State of Arizona, and the Executive and the Company hereby waive any challenge to venue or exercise of jurisdiction of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Effective Date.</w:t>
      </w:r>
    </w:p>
    <w:p>
      <w:pPr>
        <w:spacing w:after="0" w:line="200"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Amkor Technology, Inc.</w:t>
        <w:tab/>
        <w:t>Executive:</w:t>
      </w:r>
    </w:p>
    <w:p>
      <w:pPr>
        <w:sectPr>
          <w:pgSz w:w="11900" w:h="16838" w:orient="portrait"/>
          <w:cols w:equalWidth="0" w:num="1">
            <w:col w:w="10139"/>
          </w:cols>
          <w:pgMar w:left="320" w:top="1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N. Rogers</w:t>
      </w:r>
    </w:p>
    <w:p>
      <w:pPr>
        <w:ind w:left="180"/>
        <w:spacing w:after="0" w:line="203" w:lineRule="auto"/>
        <w:rPr>
          <w:sz w:val="20"/>
          <w:szCs w:val="20"/>
          <w:color w:val="auto"/>
        </w:rPr>
      </w:pPr>
      <w:r>
        <w:rPr>
          <w:rFonts w:ascii="Times New Roman" w:cs="Times New Roman" w:eastAsia="Times New Roman" w:hAnsi="Times New Roman"/>
          <w:sz w:val="18"/>
          <w:szCs w:val="18"/>
          <w:color w:val="auto"/>
        </w:rPr>
        <w:t>Mark N. Rogers</w:t>
      </w:r>
    </w:p>
    <w:p>
      <w:pPr>
        <w:ind w:left="540"/>
        <w:spacing w:after="0"/>
        <w:rPr>
          <w:sz w:val="20"/>
          <w:szCs w:val="20"/>
          <w:color w:val="auto"/>
        </w:rPr>
      </w:pPr>
      <w:r>
        <w:rPr>
          <w:rFonts w:ascii="Times New Roman" w:cs="Times New Roman" w:eastAsia="Times New Roman" w:hAnsi="Times New Roman"/>
          <w:sz w:val="18"/>
          <w:szCs w:val="18"/>
          <w:color w:val="auto"/>
        </w:rPr>
        <w:t>Date: 11-15-2022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Giel Rutten</w:t>
      </w:r>
    </w:p>
    <w:p>
      <w:pPr>
        <w:spacing w:after="0" w:line="371" w:lineRule="exact"/>
        <w:rPr>
          <w:sz w:val="20"/>
          <w:szCs w:val="20"/>
          <w:color w:val="auto"/>
        </w:rPr>
      </w:pPr>
    </w:p>
    <w:p>
      <w:pPr>
        <w:sectPr>
          <w:pgSz w:w="11900" w:h="16838" w:orient="portrait"/>
          <w:cols w:equalWidth="0" w:num="2">
            <w:col w:w="1820" w:space="360"/>
            <w:col w:w="7959"/>
          </w:cols>
          <w:pgMar w:left="320" w:top="1400" w:right="1440" w:bottom="1440" w:gutter="0" w:footer="0" w:header="0"/>
          <w:type w:val="continuous"/>
        </w:sectPr>
      </w:pPr>
    </w:p>
    <w:p>
      <w:pPr>
        <w:spacing w:after="0" w:line="193" w:lineRule="auto"/>
        <w:tabs>
          <w:tab w:leader="none" w:pos="4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Executive Vice President,</w:t>
      </w:r>
    </w:p>
    <w:p>
      <w:pPr>
        <w:ind w:left="1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11-15-2022</w:t>
      </w:r>
    </w:p>
    <w:p>
      <w:pPr>
        <w:sectPr>
          <w:pgSz w:w="11900" w:h="16838" w:orient="portrait"/>
          <w:cols w:equalWidth="0" w:num="1">
            <w:col w:w="10139"/>
          </w:cols>
          <w:pgMar w:left="320" w:top="1400" w:right="1440"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is a very important document, and you should thoroughly review and understand the terms and effect of this document before signing it. By signing this General Release, you will be releasing Amkor Technology, Inc., a Delaware corporation (“Amkor”), and others from all liability to you. Therefore, you</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should consult with an attorney before signing this General Release. You have 53 days to consider this document. If you have not returned a signed copy of this General Release by that time, we will assume that you have elected not to sign this General Release. If you choose to sign this General Release, you will have an additional 7 days following the date of your signature to revoke this General Release and this General Release shall not become effective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until the revocation period has expired.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payments and benefits to which I would not otherwise be entitled provided to me by Amkor as set forth in my Executive Severance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dated November 15, 2022 (the “Severance Agreement”), and other good and valuable consideration to which I would not otherwise be entitled, I, Giel Rutten, on behalf of myself, my heirs, and my legal representatives and assigns, and anyone else claiming by, through, under or in concert with any of the foregoing, release (i.e., give up) and forever discharge Amkor and its current, former and future subsidiaries, their respective current, former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future, direct and indirect owners, officers, directors, employees, agents, successors, predecessors, assigns and affiliates, as well as their respective employee benefit plans (and any administrators, insurers, or fiduciaries thereof), and all persons acting by, through, under, or in concert with any of them (collectively, the “Released Parties”), from any and all known and unknown claims, demands, actions, causes of action, rights, damages, costs, expenses,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wages, vacation pay, sick or paid time off, or commissions, whether arising in contract, common law, statute or otherwise, whether foreign or domestic, whether local, state, or federal, including without limitation: Title VII of the Civil Rights Act of 1964, as amended, 42 U.S.C. § 2000e, et seq.; Sections 1981 and 1983 of the Civil Rights Act of 1866, as amended; the Age Discrimination in Employment Act (ADEA), as amended, 29 U.S.C. § 621,</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et seq.; the Employee Retirement Income Security Act of 1974 (ERISA), as amended, 29 U.S.C. § 1001, et seq.; the Americans with Disabilities Act of 1990 (ADA), as amended, 42 U.S.C. § 12101, et seq.; the Family and Medical Leave Act (FMLA), as amended, 29 U.S.C. § 2601, et seq.; the Worker Adjustment &amp; Retraining Notification Act (WARN Act), as amended; and any similar or foreign or domestic or state or local laws, such as the Arizona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Civil Rights Act and the Arizona Equal Pay Law, that I now have, or which were or could have been made, on account of my service with Amkor or any of its subsidiaries or affiliates, including my separation therefrom and any transaction or occurrence between me and the Released Parties at any time during such service and after separation up to the time I execute this General Release. I agree that I have waived all claims against the Released Parties except (i)</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respect of any obligation of Amkor arising under my Severance Agreement, (ii) vested benefits under any of Amkor’s employee benefit plans in which I participate, (iii) in respect of equity awards (including any options, RSUs, restricted stock, or any other form of equity) that I have been granted pursuant to the Amkor Technology, Inc. Second Amended and Restated 2007 Equity Incentive Plan and the Amkor Technology, Inc. 2021 Equity Incentive Plan, (iv)</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rights to indemnification under Amkor’s directors’ and officers’ insurance coverage for acts performed or omissions while I was an employee or officer of Amkor, and (v) those claims that as a matter of law are not waivable by an employee against an employee’s employer. It is my intention that the language relating to the description of claims in this paragraph shall be given the broadest possible interpretation permitted by law.</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 further agree that I will not file, cause to be filed, join, or accept any relief in any lawsuit (either individually, with others, or as part of a class) pleading, raising, or asserting any claims released in this General Release. If I breach this promise, then I will reimburse each of the Released Parties for the Released Party’s attorneys’ fees and costs (or the applicable proportions thereof) incurred in defending against any such released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General Release shall be construed to prohibit me from filing a charge with or participating in an investigation or proceeding conducted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Equal Employment Opportunity Commission (EEOC), National Labor Relations Board (NLRB), Securities and Exchange Commission (SEC), or any federal, state, or local agency. I understand that I have waived and released any and all claims for money damages and equitable relief that I may recover from the Released Parties pursuant to the filing or prosecution of any administrative charge against the Released Parties by me, or any resulting civil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proceeding or lawsuit brought on my behalf for the recovery of such relief, and which arises out of the matters that are and may be released or waived by this General Release. I also understand, however, that this General Release does not limit my ability to communicate with any government agencies or otherwise participate in any investigation or proceeding that may be conducted by any government agency, including providing documents or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information, without notice to Amkor. This General Release also does not limit my right to receive an award for information provided to any government agency. I acknowledge that</w:t>
      </w:r>
    </w:p>
    <w:p>
      <w:pPr>
        <w:sectPr>
          <w:pgSz w:w="11900" w:h="16838" w:orient="portrait"/>
          <w:cols w:equalWidth="0" w:num="1">
            <w:col w:w="11240"/>
          </w:cols>
          <w:pgMar w:left="320" w:top="1400" w:right="339" w:bottom="1440" w:gutter="0" w:footer="0" w:header="0"/>
        </w:sectPr>
      </w:pPr>
    </w:p>
    <w:bookmarkStart w:id="110" w:name="page111"/>
    <w:bookmarkEnd w:id="110"/>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prohibits me or Amkor or any person or entity from (i) reporting possible violation of federal law or regulation to any governmental agency or entity or self-regulatory organization or making disclosures that are protected under the whistleblower provisions of federal law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 (ii) supplying truthful information to any governmental authority or in response to any lawful subpoena or other legal process.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shall be interpreted or applied to affect or limit my otherwise lawful ability to challenge, under the Age Discrimination in Employment Act (ADEA) or Older Worker Benefit Protection Act (OWBPA), the knowing and voluntary nature of my release of any age claims in this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General Release before a court, the EEOC, or any other federal, state, or local agency, and I shall not be required to pay the attorneys’ fees or costs of any Released Party in connection with such challenge. Notwithstanding the foregoing, unless the release is set aside by a court of law, I understand that this General Release applies to and covers any claim that I may have under the ADEA and OWBPA.</w:t>
      </w:r>
    </w:p>
    <w:p>
      <w:pPr>
        <w:spacing w:after="0" w:line="19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Except as set forth in this General Release, I understand, acknowledge, and voluntarily agree that this General Release is a total and complete release by me of any and all claims which I have against the Released Parties as of the date I sign this Agreement, both known or unknown, even though there may be facts or consequences of facts which are unknown to 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By signing below, I acknowledge that I have carefully read and fully understand the provisions of this General Release. I further acknowledge that I am signing this General Release knowingly and voluntarily and without duress, coercion or undue influence. This General Release constitutes the total and complete understanding between me and the Released Parties relating to the subject matter covered by this General Release, and all other prior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contemporaneous written or oral agreements or representations, if any, relating to the subject matter covered by this General Release are null and void. Neither the Released Parties nor their respective agents, representatives or attorneys have made any representations to me concerning the terms or effects of this General Release other than those contained herein. It is also expressly understood and agreed that the terms of this General Release may not be altered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in a writing signed by both me and Amkor.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11" w:name="page112"/>
    <w:bookmarkEnd w:id="111"/>
    <w:p>
      <w:pPr>
        <w:spacing w:after="0" w:line="205"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i w:val="1"/>
          <w:iCs w:val="1"/>
          <w:color w:val="auto"/>
        </w:rPr>
        <w:t>I agree and acknowledge that I have carefully read and understand this General Release, including the Section labeled “Notice” on the top of the first page; that I understand, in particular that I am agreeing to release all legal claims against the Released Parties, including, without limitation, Amkor; that</w:t>
      </w:r>
    </w:p>
    <w:p>
      <w:pPr>
        <w:spacing w:after="0" w:line="226" w:lineRule="auto"/>
        <w:rPr>
          <w:sz w:val="20"/>
          <w:szCs w:val="20"/>
          <w:color w:val="auto"/>
        </w:rPr>
      </w:pPr>
      <w:r>
        <w:rPr>
          <w:rFonts w:ascii="Times New Roman" w:cs="Times New Roman" w:eastAsia="Times New Roman" w:hAnsi="Times New Roman"/>
          <w:sz w:val="18"/>
          <w:szCs w:val="18"/>
          <w:i w:val="1"/>
          <w:iCs w:val="1"/>
          <w:color w:val="auto"/>
        </w:rPr>
        <w:t>I sign this General Release knowingly and voluntarily; that I have been advised to consult with an attorney before signing it; and that this General Release shall not be subject to claims of fraud, duress and/or mistake.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INTENDING TO BE LEGALLY BOUND, I hereby set my hand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ectPr>
          <w:pgSz w:w="11900" w:h="16838" w:orient="portrait"/>
          <w:cols w:equalWidth="0" w:num="1">
            <w:col w:w="11240"/>
          </w:cols>
          <w:pgMar w:left="320" w:top="1440" w:right="3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2" w:lineRule="exact"/>
        <w:rPr>
          <w:sz w:val="20"/>
          <w:szCs w:val="20"/>
          <w:color w:val="auto"/>
        </w:rPr>
      </w:pPr>
    </w:p>
    <w:p>
      <w:pPr>
        <w:sectPr>
          <w:pgSz w:w="11900" w:h="16838" w:orient="portrait"/>
          <w:cols w:equalWidth="0" w:num="2">
            <w:col w:w="2260" w:space="720"/>
            <w:col w:w="8260"/>
          </w:cols>
          <w:pgMar w:left="320" w:top="1440" w:right="339" w:bottom="1440" w:gutter="0" w:footer="0" w:header="0"/>
          <w:type w:val="continuous"/>
        </w:sectPr>
      </w:pPr>
    </w:p>
    <w:p>
      <w:pPr>
        <w:spacing w:after="0" w:line="235" w:lineRule="auto"/>
        <w:rPr>
          <w:sz w:val="20"/>
          <w:szCs w:val="20"/>
          <w:color w:val="auto"/>
        </w:rPr>
      </w:pPr>
      <w:r>
        <w:rPr>
          <w:rFonts w:ascii="Times New Roman" w:cs="Times New Roman" w:eastAsia="Times New Roman" w:hAnsi="Times New Roman"/>
          <w:sz w:val="18"/>
          <w:szCs w:val="18"/>
          <w:color w:val="auto"/>
        </w:rPr>
        <w:t>Giel Rutten</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1380" w:space="720"/>
            <w:col w:w="9140"/>
          </w:cols>
          <w:pgMar w:left="320" w:top="1440"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WITNESSED BY:</w:t>
      </w:r>
    </w:p>
    <w:p>
      <w:pPr>
        <w:sectPr>
          <w:pgSz w:w="11900" w:h="16838" w:orient="portrait"/>
          <w:cols w:equalWidth="0" w:num="1">
            <w:col w:w="11240"/>
          </w:cols>
          <w:pgMar w:left="320" w:top="1440"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20" w:lineRule="exact"/>
        <w:rPr>
          <w:sz w:val="20"/>
          <w:szCs w:val="20"/>
          <w:color w:val="auto"/>
        </w:rPr>
      </w:pPr>
    </w:p>
    <w:p>
      <w:pPr>
        <w:sectPr>
          <w:pgSz w:w="11900" w:h="16838" w:orient="portrait"/>
          <w:cols w:equalWidth="0" w:num="2">
            <w:col w:w="2260" w:space="720"/>
            <w:col w:w="826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1820" w:space="720"/>
            <w:col w:w="87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6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THIS EXECUTIVE SEVERANCE AGREEMENT </w:t>
      </w:r>
      <w:r>
        <w:rPr>
          <w:rFonts w:ascii="Times New Roman" w:cs="Times New Roman" w:eastAsia="Times New Roman" w:hAnsi="Times New Roman"/>
          <w:sz w:val="18"/>
          <w:szCs w:val="18"/>
          <w:color w:val="auto"/>
        </w:rPr>
        <w:t>(this “Agreement”) is made and entered into as of the 15th day of November,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by and between Amkor Technology, Inc., a Delaware corporation (the “Company”), and Megan Faust (the “Executive”).</w:t>
      </w:r>
    </w:p>
    <w:p>
      <w:pPr>
        <w:spacing w:after="0" w:line="16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and the Company desire to enter into this Agreement to provide the Executive with security in the event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terminations and to better enable the Executive to devote Executive’s best efforts to the business of the Company.</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for the foregoing premises, and the mutual covenants, terms and conditions set forth herein,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and intending to be legally bound hereby, the Company and Executive agree as follows:</w:t>
      </w:r>
    </w:p>
    <w:p>
      <w:pPr>
        <w:spacing w:after="0" w:line="14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1.</w:t>
      </w:r>
      <w:r>
        <w:rPr>
          <w:sz w:val="20"/>
          <w:szCs w:val="20"/>
          <w:color w:val="auto"/>
        </w:rPr>
        <w:tab/>
      </w:r>
      <w:r>
        <w:rPr>
          <w:rFonts w:ascii="Times New Roman" w:cs="Times New Roman" w:eastAsia="Times New Roman" w:hAnsi="Times New Roman"/>
          <w:sz w:val="17"/>
          <w:szCs w:val="17"/>
          <w:b w:val="1"/>
          <w:bCs w:val="1"/>
          <w:color w:val="auto"/>
        </w:rPr>
        <w:t>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effective from the Effective Date.</w:t>
      </w:r>
    </w:p>
    <w:p>
      <w:pPr>
        <w:spacing w:after="0" w:line="19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used in this Agreement, the following terms will have the meanings set forth below.</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 xml:space="preserve">Affiliate </w:t>
      </w:r>
      <w:r>
        <w:rPr>
          <w:rFonts w:ascii="Times New Roman" w:cs="Times New Roman" w:eastAsia="Times New Roman" w:hAnsi="Times New Roman"/>
          <w:sz w:val="18"/>
          <w:szCs w:val="18"/>
          <w:color w:val="auto"/>
        </w:rPr>
        <w:t>means a corporation or other entity controlled by, controlling or under common control with the Company, including, without limitation,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any corporation partnership, joint venture or other entity during any period in which at least a fifty percent (50%) voting or profits interest is owned, directly or indirectly, by the Company or any successor to the Company.</w:t>
      </w:r>
    </w:p>
    <w:p>
      <w:pPr>
        <w:spacing w:after="0" w:line="15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means the salary of record paid to an Executive as annual salary, excluding amounts received under incentive or other bonus plans (including, without limitation, the Bonus Plan), whether or not deferred.</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 xml:space="preserve">Board </w:t>
      </w:r>
      <w:r>
        <w:rPr>
          <w:rFonts w:ascii="Times New Roman" w:cs="Times New Roman" w:eastAsia="Times New Roman" w:hAnsi="Times New Roman"/>
          <w:sz w:val="17"/>
          <w:szCs w:val="17"/>
          <w:color w:val="auto"/>
        </w:rPr>
        <w:t>means the Board of Directors of the Company.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 xml:space="preserve">Bonus Plan </w:t>
      </w:r>
      <w:r>
        <w:rPr>
          <w:rFonts w:ascii="Times New Roman" w:cs="Times New Roman" w:eastAsia="Times New Roman" w:hAnsi="Times New Roman"/>
          <w:sz w:val="17"/>
          <w:szCs w:val="17"/>
          <w:color w:val="auto"/>
        </w:rPr>
        <w:t>means the Company’s Amended and Restated Executive Incentive Bonus Plan, or any successor plan thereto.</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if the Executive is party to an employment or similar agreement that contains a definition of “Cause,” the definition set forth in such agreement, and, in every other case, “Cause” means:</w:t>
      </w:r>
    </w:p>
    <w:p>
      <w:pPr>
        <w:spacing w:after="0" w:line="158" w:lineRule="exact"/>
        <w:rPr>
          <w:sz w:val="20"/>
          <w:szCs w:val="20"/>
          <w:color w:val="auto"/>
        </w:rPr>
      </w:pPr>
    </w:p>
    <w:p>
      <w:pPr>
        <w:ind w:left="660" w:right="20" w:firstLine="644"/>
        <w:spacing w:after="0" w:line="250" w:lineRule="auto"/>
        <w:tabs>
          <w:tab w:leader="none" w:pos="19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commission of, or guilty plea or plea of no contest to, a felony (or a crime of similar magnitude under applicable laws outside the United States) or any crime that involves moral turpitude;</w:t>
      </w:r>
    </w:p>
    <w:p>
      <w:pPr>
        <w:spacing w:after="0" w:line="149" w:lineRule="exact"/>
        <w:rPr>
          <w:rFonts w:ascii="Times New Roman" w:cs="Times New Roman" w:eastAsia="Times New Roman" w:hAnsi="Times New Roman"/>
          <w:sz w:val="18"/>
          <w:szCs w:val="18"/>
          <w:color w:val="auto"/>
        </w:rPr>
      </w:pPr>
    </w:p>
    <w:p>
      <w:pPr>
        <w:ind w:left="660" w:firstLine="644"/>
        <w:spacing w:after="0" w:line="237" w:lineRule="auto"/>
        <w:tabs>
          <w:tab w:leader="none" w:pos="19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the Executive that constitutes fraud or embezzlement or any acts of intentional dishonesty in relation to the Executive’s duties to the Company;</w:t>
      </w:r>
    </w:p>
    <w:p>
      <w:pPr>
        <w:spacing w:after="0" w:line="171" w:lineRule="exact"/>
        <w:rPr>
          <w:rFonts w:ascii="Times New Roman" w:cs="Times New Roman" w:eastAsia="Times New Roman" w:hAnsi="Times New Roman"/>
          <w:sz w:val="18"/>
          <w:szCs w:val="18"/>
          <w:color w:val="auto"/>
        </w:rPr>
      </w:pPr>
    </w:p>
    <w:p>
      <w:pPr>
        <w:ind w:left="660" w:firstLine="644"/>
        <w:spacing w:after="0" w:line="237" w:lineRule="auto"/>
        <w:tabs>
          <w:tab w:leader="none" w:pos="19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engaged in gross negligence or intentional misconduct which causes, or in the reasonable judgment of the Committee, is reasonably likely to cause, either reputational or economic harm to the Company or its Affiliates; or</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4" w:lineRule="auto"/>
        <w:tabs>
          <w:tab w:leader="none" w:pos="19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the Executive’s obligations under this Agreement (including, without limitation, Article 4 hereof), any employment or similar agreement or any written Company policy, including any code of conduct, which is not cured, if curable, within ten (10) days after the Committee notifies the Executive of such breach (which notice specifies in reasonable detail the grounds constituting Cause).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 xml:space="preserve">Change in Control </w:t>
      </w:r>
      <w:r>
        <w:rPr>
          <w:rFonts w:ascii="Times New Roman" w:cs="Times New Roman" w:eastAsia="Times New Roman" w:hAnsi="Times New Roman"/>
          <w:sz w:val="17"/>
          <w:szCs w:val="17"/>
          <w:color w:val="auto"/>
        </w:rPr>
        <w:t>has the meaning set forth in the Equity Incentive Plan.</w:t>
      </w:r>
    </w:p>
    <w:p>
      <w:pPr>
        <w:sectPr>
          <w:pgSz w:w="11900" w:h="16838" w:orient="portrait"/>
          <w:cols w:equalWidth="0" w:num="1">
            <w:col w:w="11240"/>
          </w:cols>
          <w:pgMar w:left="320" w:top="1400" w:right="339" w:bottom="1440" w:gutter="0" w:footer="0" w:header="0"/>
        </w:sectPr>
      </w:pPr>
    </w:p>
    <w:bookmarkStart w:id="113" w:name="page114"/>
    <w:bookmarkEnd w:id="11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u w:val="single" w:color="auto"/>
          <w:color w:val="auto"/>
        </w:rPr>
        <w:t xml:space="preserve">COBRA </w:t>
      </w:r>
      <w:r>
        <w:rPr>
          <w:rFonts w:ascii="Times New Roman" w:cs="Times New Roman" w:eastAsia="Times New Roman" w:hAnsi="Times New Roman"/>
          <w:sz w:val="17"/>
          <w:szCs w:val="17"/>
          <w:color w:val="auto"/>
        </w:rPr>
        <w:t>means the Consolidated Omnibus Budget Reconciliation Act of 1986, as amended from time to time.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u w:val="single" w:color="auto"/>
          <w:color w:val="auto"/>
        </w:rPr>
        <w:t xml:space="preserve">Code </w:t>
      </w:r>
      <w:r>
        <w:rPr>
          <w:rFonts w:ascii="Times New Roman" w:cs="Times New Roman" w:eastAsia="Times New Roman" w:hAnsi="Times New Roman"/>
          <w:sz w:val="17"/>
          <w:szCs w:val="17"/>
          <w:color w:val="auto"/>
        </w:rPr>
        <w:t>means the Internal Revenue Code of 1986, as amended from time to time.</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Compensation Committee of the Board or any other committee of the Board appointed to perform the functions of the Compensation Committee.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u w:val="single" w:color="auto"/>
          <w:color w:val="auto"/>
        </w:rPr>
        <w:t xml:space="preserve">Company </w:t>
      </w:r>
      <w:r>
        <w:rPr>
          <w:rFonts w:ascii="Times New Roman" w:cs="Times New Roman" w:eastAsia="Times New Roman" w:hAnsi="Times New Roman"/>
          <w:sz w:val="17"/>
          <w:szCs w:val="17"/>
          <w:color w:val="auto"/>
        </w:rPr>
        <w:t>means Amkor Technology, Inc., a Delaware corporation, or any successor thereto as provided in Article 10 herein.</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if the Executive is party to an employment agreement that contains a definition of “Disability,” the definition set forth in such agreement, and, in every other case, “Disability” means the inability of the Executive to engage in any substantial gainful activity by reason of any medically determinable physical or mental impairment which can be expected to result in death or that has lasted or can be expected to last for a continuous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period of not less than twelve (12) months, as provided in Section 22(e)(3) and 409A(A)(2)(C)(i) of the Code, and will be determined by the Committee on the basis of such medical evidence as the Committee deemed warranted under the circumstances.</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means, as applicable, the Amkor Technology, Inc. Second Amended and Restated 2007 Equity Incentive Plan, the Amkor Technology, Inc. 2021 Equity Incentive Plan, or any successor plan thereto, in each case, as amended, restated and/or supplemented from time to time.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 xml:space="preserve">Exchange Act </w:t>
      </w:r>
      <w:r>
        <w:rPr>
          <w:rFonts w:ascii="Times New Roman" w:cs="Times New Roman" w:eastAsia="Times New Roman" w:hAnsi="Times New Roman"/>
          <w:sz w:val="17"/>
          <w:szCs w:val="17"/>
          <w:color w:val="auto"/>
        </w:rPr>
        <w:t>means the Securities Exchange Act of 1934, as amended from time to time, and any successor thereto.</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 xml:space="preserve">Global Mobility Policy </w:t>
      </w:r>
      <w:r>
        <w:rPr>
          <w:rFonts w:ascii="Times New Roman" w:cs="Times New Roman" w:eastAsia="Times New Roman" w:hAnsi="Times New Roman"/>
          <w:sz w:val="17"/>
          <w:szCs w:val="17"/>
          <w:color w:val="auto"/>
        </w:rPr>
        <w:t>means the Company’s Global Mobility Policy and Procedure, as in effect from time to time.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reduction in the Executive’s authority, duties or responsibilities; (ii) a material reduction in the Executive’s Base Salary or target bonus opportunity under the Bonus Plan (in each case, other than a reduction that is imposed proportionately on substantially all executive officers); or (iii) a relocation of the Executive’s principal place of employment, without the Executive’s express written approval, to a location more than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fifty (50) miles from the location at which the Executive performs the Executive’s duties as of the Effective Date. No termination of employment by the Executive shall be treated as being for Good Reason unless the Executive provides a Notice of Termination pursuant to Section 3.5 within sixty (60) days after the time that the facts or circumstances constituting Good Reason initially arise and provides the Company a cure period of thirty (30) days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receipt of such notice, there is no cure and such resignation is effective prior to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end of such cure period.</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means a written notice which indicates the specific termination provision in this Agreement relied upon and sets forth in reasonable detail the facts and circumstances claimed to provide a basis for termination of the Executive’s employment under the provision so indicated.</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has the meaning ascribed to such term in Section 3(a)(9) of the Exchange Act and used in Sections 13(d) and 14(d) thereof, including a “group” as provided in Section 13(d).</w:t>
      </w:r>
    </w:p>
    <w:p>
      <w:pPr>
        <w:spacing w:after="0" w:line="1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 xml:space="preserve">Qualifying CIC Termination </w:t>
      </w:r>
      <w:r>
        <w:rPr>
          <w:rFonts w:ascii="Times New Roman" w:cs="Times New Roman" w:eastAsia="Times New Roman" w:hAnsi="Times New Roman"/>
          <w:sz w:val="17"/>
          <w:szCs w:val="17"/>
          <w:color w:val="auto"/>
        </w:rPr>
        <w:t>shall occur if, during the period beginning on the ninetieth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day prior to the date that a Change in Control occurs</w:t>
      </w:r>
    </w:p>
    <w:p>
      <w:pPr>
        <w:jc w:val="both"/>
        <w:spacing w:after="0" w:line="204" w:lineRule="auto"/>
        <w:rPr>
          <w:sz w:val="20"/>
          <w:szCs w:val="20"/>
          <w:color w:val="auto"/>
        </w:rPr>
      </w:pPr>
      <w:r>
        <w:rPr>
          <w:rFonts w:ascii="Times New Roman" w:cs="Times New Roman" w:eastAsia="Times New Roman" w:hAnsi="Times New Roman"/>
          <w:sz w:val="18"/>
          <w:szCs w:val="18"/>
          <w:color w:val="auto"/>
        </w:rPr>
        <w:t>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(i) by the Company for reasons other than Cause, Disability or death or (ii) by the Executive for Good Reason.</w:t>
      </w:r>
    </w:p>
    <w:p>
      <w:pPr>
        <w:spacing w:after="0" w:line="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 xml:space="preserve">Qualifying Non-CIC Termination </w:t>
      </w:r>
      <w:r>
        <w:rPr>
          <w:rFonts w:ascii="Times New Roman" w:cs="Times New Roman" w:eastAsia="Times New Roman" w:hAnsi="Times New Roman"/>
          <w:sz w:val="18"/>
          <w:szCs w:val="18"/>
          <w:color w:val="auto"/>
        </w:rPr>
        <w:t>shall occur if, any time other than during the period beginning on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the date that a</w:t>
      </w:r>
    </w:p>
    <w:p>
      <w:pPr>
        <w:jc w:val="both"/>
        <w:ind w:right="20"/>
        <w:spacing w:after="0" w:line="204" w:lineRule="auto"/>
        <w:rPr>
          <w:sz w:val="20"/>
          <w:szCs w:val="20"/>
          <w:color w:val="auto"/>
        </w:rPr>
      </w:pPr>
      <w:r>
        <w:rPr>
          <w:rFonts w:ascii="Times New Roman" w:cs="Times New Roman" w:eastAsia="Times New Roman" w:hAnsi="Times New Roman"/>
          <w:sz w:val="18"/>
          <w:szCs w:val="18"/>
          <w:color w:val="auto"/>
        </w:rPr>
        <w:t>Change in Control occurs 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by the Company for reasons other than Cause, Disability or death.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u w:val="single" w:color="auto"/>
          <w:color w:val="auto"/>
        </w:rPr>
        <w:t xml:space="preserve">Separation from Service </w:t>
      </w:r>
      <w:r>
        <w:rPr>
          <w:rFonts w:ascii="Times New Roman" w:cs="Times New Roman" w:eastAsia="Times New Roman" w:hAnsi="Times New Roman"/>
          <w:sz w:val="18"/>
          <w:szCs w:val="18"/>
          <w:color w:val="auto"/>
        </w:rPr>
        <w:t>means the Executive’s termination of employment with the Company, its Affiliates and with each member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controlled group (within the meaning of Sections 414(b) or (c) of the Code) of which the Company is a member. An Executive will not be treated as having a Separation from Service during any period the Executive’s employment relationship continues, such as a result of a leave of absence, and whether a Separation from Service has occurred shall be determined by the Committee (on a basis consistent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14" w:name="page115"/>
    <w:bookmarkEnd w:id="114"/>
    <w:p>
      <w:pPr>
        <w:jc w:val="both"/>
        <w:spacing w:after="0" w:line="222" w:lineRule="auto"/>
        <w:rPr>
          <w:sz w:val="20"/>
          <w:szCs w:val="20"/>
          <w:color w:val="auto"/>
        </w:rPr>
      </w:pPr>
      <w:r>
        <w:rPr>
          <w:rFonts w:ascii="Times New Roman" w:cs="Times New Roman" w:eastAsia="Times New Roman" w:hAnsi="Times New Roman"/>
          <w:sz w:val="18"/>
          <w:szCs w:val="18"/>
          <w:color w:val="auto"/>
        </w:rPr>
        <w:t>regulations under Section 409A of the Code) after consideration of all the facts and circumstances, including whether either no further services are to be performed or there is a reasonably anticipated permanent and substantial decrease (e.g., 80% or more) in the level of services to be performed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amount of compensation to be received for such services) below the level of services previously performed (and compensation previously received).</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auto"/>
        </w:rPr>
        <w:t xml:space="preserve">Severance Benefits </w:t>
      </w:r>
      <w:r>
        <w:rPr>
          <w:rFonts w:ascii="Times New Roman" w:cs="Times New Roman" w:eastAsia="Times New Roman" w:hAnsi="Times New Roman"/>
          <w:sz w:val="17"/>
          <w:szCs w:val="17"/>
          <w:color w:val="auto"/>
        </w:rPr>
        <w:t>means the payment of severance compensation as provided in Section 3.1 or 3.2 herein.</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8"/>
          <w:szCs w:val="18"/>
          <w:b w:val="1"/>
          <w:bCs w:val="1"/>
          <w:color w:val="auto"/>
        </w:rPr>
        <w:t>Severance Benefits</w:t>
      </w:r>
    </w:p>
    <w:p>
      <w:pPr>
        <w:spacing w:after="0" w:line="202"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Severance Benefits in Connection with a Change in Control</w:t>
      </w:r>
      <w:r>
        <w:rPr>
          <w:rFonts w:ascii="Times New Roman" w:cs="Times New Roman" w:eastAsia="Times New Roman" w:hAnsi="Times New Roman"/>
          <w:sz w:val="18"/>
          <w:szCs w:val="18"/>
          <w:color w:val="auto"/>
        </w:rPr>
        <w:t xml:space="preserve">. If a Qualifying CIC Termination of the Executive occurs, and provided that the Executive executes and does not revoke the release of claims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w:t>
      </w:r>
    </w:p>
    <w:p>
      <w:pPr>
        <w:spacing w:after="0"/>
        <w:rPr>
          <w:sz w:val="20"/>
          <w:szCs w:val="20"/>
          <w:color w:val="auto"/>
        </w:rPr>
      </w:pPr>
      <w:r>
        <w:rPr>
          <w:rFonts w:ascii="Times New Roman" w:cs="Times New Roman" w:eastAsia="Times New Roman" w:hAnsi="Times New Roman"/>
          <w:sz w:val="18"/>
          <w:szCs w:val="18"/>
          <w:color w:val="auto"/>
        </w:rPr>
        <w:t>following payments and benefits:</w:t>
      </w:r>
    </w:p>
    <w:p>
      <w:pPr>
        <w:spacing w:after="0" w:line="165" w:lineRule="exact"/>
        <w:rPr>
          <w:sz w:val="20"/>
          <w:szCs w:val="20"/>
          <w:color w:val="auto"/>
        </w:rPr>
      </w:pPr>
    </w:p>
    <w:p>
      <w:pPr>
        <w:jc w:val="both"/>
        <w:ind w:left="660" w:firstLine="644"/>
        <w:spacing w:after="0" w:line="231" w:lineRule="auto"/>
        <w:tabs>
          <w:tab w:leader="none" w:pos="19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one and one-half (1.5) times the sum of (i) the Executive’s Base Salary immediately prior to the Qualifying CIC Termination and (ii)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the amount of premiums that the Executive and his or her eligible dependents would be required to pay for continued coverage under the Company’s group health plans pursuant to COBRA for 18 months,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the Change in Control shall become 100% vested as of the later of the date of the Qualifying CIC Termination and the Change in Control (but immediately prior to the consummation thereof), and any such equity award that is a stock option shall remain exercisable until the earlier of (i) twenty-four (24) months following the date of such Qualifying CIC Termination, or (ii) the original expiration date of such award (subject to the treatment of such equity award in connection with such Change in Control); and</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the Change in Control shall remain subject to the provisions of the applicable award agreement and the Equity Incentive Plan.</w:t>
      </w:r>
    </w:p>
    <w:p>
      <w:pPr>
        <w:spacing w:after="0" w:line="17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Severance Benefits Not in Connection with a Change in Control</w:t>
      </w:r>
      <w:r>
        <w:rPr>
          <w:rFonts w:ascii="Times New Roman" w:cs="Times New Roman" w:eastAsia="Times New Roman" w:hAnsi="Times New Roman"/>
          <w:sz w:val="18"/>
          <w:szCs w:val="18"/>
          <w:color w:val="auto"/>
        </w:rPr>
        <w:t>. If a Qualifying Non-CIC Termination of the Executive occurs, and provided that the Executive executes and does not revoke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 following payments and benefits:</w:t>
      </w:r>
    </w:p>
    <w:p>
      <w:pPr>
        <w:spacing w:after="0" w:line="171" w:lineRule="exact"/>
        <w:rPr>
          <w:sz w:val="20"/>
          <w:szCs w:val="20"/>
          <w:color w:val="auto"/>
        </w:rPr>
      </w:pPr>
    </w:p>
    <w:p>
      <w:pPr>
        <w:jc w:val="both"/>
        <w:ind w:left="660" w:firstLine="644"/>
        <w:spacing w:after="0" w:line="224" w:lineRule="auto"/>
        <w:tabs>
          <w:tab w:leader="none" w:pos="19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(1) times the sum of (i) the Executive’s Base Salary immediately prior to the Qualifying Non-CIC Termination and (ii) the Executive’s target bonus amount under the Bonus Plan for the year of termination, payable in substantially equal bi-weekly installments for a period of twelve (12) months, beginning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actual bonus under the Bonus Plan for the year of termination, if any, the Executive would have been paid for such year absent such termination, but determined without respect to any discretionary component and the non-discretionary components shall be reweighted proportionally, payable on the latest of (i) the date on which the Company pays bonuses for such year generally, (ii) the date on which the Release becomes effective, and (iii)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9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premiums that the Executive and the Executive’s eligible dependents would be required to pay for continued coverage under the Company’s group health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15" w:name="page116"/>
    <w:bookmarkEnd w:id="115"/>
    <w:p>
      <w:pPr>
        <w:ind w:left="660"/>
        <w:spacing w:after="0" w:line="237" w:lineRule="auto"/>
        <w:rPr>
          <w:sz w:val="20"/>
          <w:szCs w:val="20"/>
          <w:color w:val="auto"/>
        </w:rPr>
      </w:pPr>
      <w:r>
        <w:rPr>
          <w:rFonts w:ascii="Times New Roman" w:cs="Times New Roman" w:eastAsia="Times New Roman" w:hAnsi="Times New Roman"/>
          <w:sz w:val="18"/>
          <w:szCs w:val="18"/>
          <w:color w:val="auto"/>
        </w:rPr>
        <w:t>pursuant to COBRA for twelve (12) months, payable in substantially equal bi-weekly installments for a period of twelve (12) months, beginning on the first payroll date after the Release becomes effective or such later date as may be required to comply with Section 409A of the Code; and</w:t>
      </w:r>
    </w:p>
    <w:p>
      <w:pPr>
        <w:spacing w:after="0" w:line="172" w:lineRule="exact"/>
        <w:rPr>
          <w:sz w:val="20"/>
          <w:szCs w:val="20"/>
          <w:color w:val="auto"/>
        </w:rPr>
      </w:pPr>
    </w:p>
    <w:p>
      <w:pPr>
        <w:jc w:val="both"/>
        <w:ind w:left="660" w:right="20" w:firstLine="644"/>
        <w:spacing w:after="0" w:line="226" w:lineRule="auto"/>
        <w:tabs>
          <w:tab w:leader="none" w:pos="19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such Qualifying Non-CIC Termination shall remain subject to the provisions of the applicable award agreement and the Equity Incentive Plan; and</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such Qualifying Non-CIC Termination shall remain subject to the provisions of the applicable award agreement and the Equity Incentive Plan.</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Other Terminations of Employment</w:t>
      </w:r>
      <w:r>
        <w:rPr>
          <w:rFonts w:ascii="Times New Roman" w:cs="Times New Roman" w:eastAsia="Times New Roman" w:hAnsi="Times New Roman"/>
          <w:sz w:val="18"/>
          <w:szCs w:val="18"/>
          <w:color w:val="auto"/>
        </w:rPr>
        <w:t>. For the avoidance of doubt, if, at any time, the Executive’s employment is terminated and such termination of employment is not a Qualifying CIC Termination or a Qualifying Non-CIC Termination, the Executive will not be entitled to the Severance Benefits described in Section 3.1 or 3.2.</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With respect to any Separation from Service, the Company will pay the Executive an amount equal to: (i) unpaid Base Salary earned prior to the date of the Executive’s Separation from Service; (ii) unused vacation time accrued prior to the date of the Executive’s Separation from Service; and (iii) vested benefits earned under any employee benefit plan or program, in accordance with the terms and conditions thereof.</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employment by the Company or by the Executive for Good Reason will be communicated by a Notice of Termination.</w:t>
      </w:r>
    </w:p>
    <w:p>
      <w:pPr>
        <w:spacing w:after="0" w:line="15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8"/>
          <w:szCs w:val="18"/>
          <w:b w:val="1"/>
          <w:bCs w:val="1"/>
          <w:color w:val="auto"/>
        </w:rPr>
        <w:t>Return of Property; Restrictive Covenants; Cooperation</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On or before the Executive’s Separation from Service, the Executive shall return to the Company all files, memoranda, documents, records, copies of the foregoing, Company-provided credit cards, keys, building passes, security passes, access or identification cards, and any other Company property in the Executive’s possession or control. To the extent the Executive subsequently discovers that any property or data identified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above is still in the Executive’s possession, custody or control after the Executive’s Separation from Service, the Executive shall return all such property and data to the Company as soon as practicable, but in no event later than ten (10) days after making such discovery. On or before the Executive’s Separation from Service, the Executive shall clear all expense accounts, repay everything the Executive owes to the Company or any Affiliate thereof, pay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amounts the Executive owes on Company-provided credit cards or accounts (such as cell phone accounts), and cancel or personally assume any such credit cards or accounts. On and after the Executive’s Separation from Service, the Executive shall not incur any expenses, obligations, or liabilities on behalf of the Company or any of its Affiliates.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Beginning on the date hereof and continuing for twelve (12) months following the Executive’s Separation from Service (the “Restriction Period”), the Executive shall not, without the express prior written consent of the Committee, engage in or carry on, directly or indirectly, whether as an advisor, principal, agent, partner, officer, director, employee, stockholder, associate or consultant to any Person, or any other business entity,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business of outsourced semiconductor packaging or test services anywhere in the United States or any other country in which the Company conducts business; provided that ownership by the Executive of Company securities or of less than a five percent (5%) publicly traded equity interest in a public company shall not be a breach of this Section 4.2.</w:t>
      </w:r>
    </w:p>
    <w:p>
      <w:pPr>
        <w:spacing w:after="0" w:line="17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Restriction Period, the Executive shall not, without the express prior written consent of the Board, directly or indirectly, for the Executive or on behalf of any other Person or any other business entity, (i) solicit or encourage any customer, vendor, client or prospective customer, vendor or client (or anyone who was a customer, vendor or client during the Restriction Period) to cease any relationship with the Company or any of its Affiliates or (ii) solicit or encourage any employee or consultant of the Company or any of its Affiliates (or anyone who was an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employee or consultant of the Company or any of its Affiliates during the Restriction Period) to leave the employment of or cease to perform services for the Company or any of its Affiliates; provided that this Section 4.3 shall not prohibit any general public advertisement or general solicitation for personnel not specifically directed at any employee or consultant of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16" w:name="page117"/>
    <w:bookmarkEnd w:id="116"/>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Beginning on the date hereof and at all times hereafter, the Executive shall not make any public statement that is in any way disparaging, derogatory or defamatory regarding the Company, any of its Affiliates or any of their respective officers, directors, employees, consultants,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reputations, products, operations, procedures, policies or services, which is reasonably likely to (i) damage materially the reputation of the Company or any of its Affiliates or (ii) interfere materially with the contracts or business relationships of the Company or any of its Affiliates. “Public statements” mean any statement, whether written or oral, made in any public forum, including in any social media or website. However, nothing in this Section 4.4 shall prohibit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Executive from testifying truthfully in any forum or contacting, cooperating with or providing truthful information to any government agency or commission.</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Executive’s Separation from Service, the Executive shall provide reasonable assistance to and cooperate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and its Affiliates as to any claims, controversies, disputes, or complaints of which the Executive has knowledge or that may relate to the Executive or the Executive’s employment or other relationships with the Company or any of its Affiliates. Such cooperation includes but is not limited to providing the Company and its Affiliates with all information known to the Executive related to the foregoing, meeting with counsel, and appearing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giving testimony in any forum. The Company will reimburse the Executive for any reasonable out-of-pocket expenses incurred by the Executive in providing assistance under this Section 4.5.</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7"/>
          <w:szCs w:val="17"/>
          <w:b w:val="1"/>
          <w:bCs w:val="1"/>
          <w:color w:val="auto"/>
        </w:rPr>
        <w:t>Excise Tax Under Section 4999 of the Code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Excess Parachute Payments</w:t>
      </w:r>
      <w:r>
        <w:rPr>
          <w:rFonts w:ascii="Times New Roman" w:cs="Times New Roman" w:eastAsia="Times New Roman" w:hAnsi="Times New Roman"/>
          <w:sz w:val="18"/>
          <w:szCs w:val="18"/>
          <w:color w:val="auto"/>
        </w:rPr>
        <w:t>. Notwithstanding any provision of this Agreement to the contrary, if any payment or benefit the Executive would receive pursuant to this Agreement or otherwise (collectively, the “Payments”) would constitute a “parachute payment” within the meaning of Section 280G of the Code, and, but for this Section 5.1, would be subject to the excise tax imposed by Section 4999 of the Code or any similar or successor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 (the “Excise Tax”),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maximum reduction in federal income taxes which could be obtained from a deduction of such state and local taxes), results in the Executive’s receipt, on an after-tax basis, of the greatest amount of the Payments. Any reduction in the Payments required by this Section 5.1 will be made in the following order:</w:t>
      </w:r>
    </w:p>
    <w:p>
      <w:pPr>
        <w:spacing w:after="0" w:line="1" w:lineRule="exact"/>
        <w:rPr>
          <w:sz w:val="20"/>
          <w:szCs w:val="20"/>
          <w:color w:val="auto"/>
        </w:rPr>
      </w:pPr>
    </w:p>
    <w:p>
      <w:pPr>
        <w:jc w:val="both"/>
        <w:ind w:firstLine="8"/>
        <w:spacing w:after="0" w:line="218" w:lineRule="auto"/>
        <w:tabs>
          <w:tab w:leader="none" w:pos="2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cash payments; (ii) reduction of accelerated vesting of equity awards other than stock options; (iii) reduction of accelerated vesting of stock options; and (iv) reduction of other benefits paid or provided to the Executive. If acceleration of vesting of equity awards is to be reduced, such acceleration of vesting will be cancelled in the reverse order of the date of grant of the Executive’s equity awards. If two or more equity awards are granted on the same date, the accelerated vesting of each award will be reduced on a pro-rata basis.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Determination by Accounting Firm</w:t>
      </w:r>
      <w:r>
        <w:rPr>
          <w:rFonts w:ascii="Times New Roman" w:cs="Times New Roman" w:eastAsia="Times New Roman" w:hAnsi="Times New Roman"/>
          <w:sz w:val="18"/>
          <w:szCs w:val="18"/>
          <w:color w:val="auto"/>
        </w:rPr>
        <w:t>. The professional accounting firm engaged by the Company for general tax purposes as of the day prior to the date of the event that might reasonably be anticipated to result in Payments that would otherwise be subject to the Excise Tax will perform the foregoing calculations. If the firm so engaged by the Company is serving as accountant or auditor for the acquiring company, the Company will appoint a nationally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recognized accounting firm to make the determinations required by Section 5.1. The Company will bear all expenses with respect to the determinations by such firm required to be made by Section 5.1. The Company and the Executive shall furnish such firm such information and documents as the firm may reasonably request to make its required determination. The firm will provide its calculations, together with detailed supporting documentation,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and the Executive as soon as practicable following its engagement. Any good faith determinations of the firm made hereunder will be final, binding and conclusive upon the Company and the Executive.</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The Company will be entitled to withhold from any amounts payable under this Agreement all taxes as it may believe are reasonably required to be withheld (including, without limitation, any United States federal taxes and any other state, city, local or foreign taxes).</w:t>
      </w:r>
    </w:p>
    <w:p>
      <w:pPr>
        <w:spacing w:after="0" w:line="14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Mandatory Deferral Rule</w:t>
      </w:r>
      <w:r>
        <w:rPr>
          <w:rFonts w:ascii="Times New Roman" w:cs="Times New Roman" w:eastAsia="Times New Roman" w:hAnsi="Times New Roman"/>
          <w:sz w:val="18"/>
          <w:szCs w:val="18"/>
          <w:color w:val="auto"/>
        </w:rPr>
        <w:t>. Notwithstanding any other provision of this Agreement to the contrary, any payment that constitutes the deferral of compensation (within the meaning of Treasury Regulation Section 1.409A-1(b)) that is otherwise required to be made to the Executive prior to the day after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date that is six (6) months from the Executive’s Separation from Service shall be accumulated, deferred and paid in a lump sum to the Executive (with interest on the amount deferred from the Executive’s Separation from Service until the day prior to the actual payment at the federal short-term rate on the date of the Executive’s Separation from Service) on the day after the date that is six (6) months from the date of the Executive’s Separation from Service;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17" w:name="page118"/>
    <w:bookmarkEnd w:id="117"/>
    <w:p>
      <w:pPr>
        <w:jc w:val="both"/>
        <w:spacing w:after="0" w:line="237" w:lineRule="auto"/>
        <w:rPr>
          <w:sz w:val="20"/>
          <w:szCs w:val="20"/>
          <w:color w:val="auto"/>
        </w:rPr>
      </w:pPr>
      <w:r>
        <w:rPr>
          <w:rFonts w:ascii="Times New Roman" w:cs="Times New Roman" w:eastAsia="Times New Roman" w:hAnsi="Times New Roman"/>
          <w:sz w:val="18"/>
          <w:szCs w:val="18"/>
          <w:color w:val="auto"/>
        </w:rPr>
        <w:t>Executive dies prior to the expiration of such six (6)-month period, payment to the Executive’s estate shall be made as soon as practicable following the Executive’s death.</w:t>
      </w:r>
    </w:p>
    <w:p>
      <w:pPr>
        <w:spacing w:after="0" w:line="16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8"/>
          <w:szCs w:val="18"/>
          <w:b w:val="1"/>
          <w:bCs w:val="1"/>
          <w:color w:val="auto"/>
        </w:rPr>
        <w:t>No Mitigation</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Executive will not be obligated to seek other employment in mitigation of the amounts payable made under any provision of this Agreement, and the obtaining of any such other employment will in no event effect any reduction of the Company’s obligations to make the payments required to be made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this Agreement. Notwithstanding anything in this Agreement to the contrary, if the Severance Benefits are paid under this Agreement, no severance benefits under any program of the Company, other than benefits described in this Agreement, will be paid to the Executive.</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8"/>
          <w:szCs w:val="18"/>
          <w:b w:val="1"/>
          <w:bCs w:val="1"/>
          <w:color w:val="auto"/>
        </w:rPr>
        <w:t>Relocation</w:t>
      </w:r>
    </w:p>
    <w:p>
      <w:pPr>
        <w:spacing w:after="0" w:line="20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If the Executive is on an expatriate assignment under the Global Mobility Policy and a Qualifying CIC Termination or a Qualifying Non-CIC Termination occurs, then, notwithstanding anything in the Global Mobility Policy to the contrary, the Executive will be eligible for relocation benefits back to the Executive’s home country consistent with those provided under the Global Mobility Policy.</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8"/>
          <w:szCs w:val="18"/>
          <w:b w:val="1"/>
          <w:bCs w:val="1"/>
          <w:color w:val="auto"/>
        </w:rPr>
        <w:t>Outplacement Assistance</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Following a Qualifying CIC Termination or a Qualifying Non-CIC Termination, the Executive will be reimbursed by the Company for the reasonable costs of outplacement services obtained by the Executive within the six (6)-month period after the Executive’s Separation from Service, upon receipt by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of documentation evidencing the actual cost of such services; provided, however, that reimbursements must be made by the end of the year following the year in which the Separation from Service occurs.</w:t>
      </w:r>
    </w:p>
    <w:p>
      <w:pPr>
        <w:spacing w:after="0" w:line="15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7"/>
          <w:szCs w:val="17"/>
          <w:b w:val="1"/>
          <w:bCs w:val="1"/>
          <w:color w:val="auto"/>
        </w:rPr>
        <w:t>Successors and Assignment</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Successors to the Company</w:t>
      </w:r>
      <w:r>
        <w:rPr>
          <w:rFonts w:ascii="Times New Roman" w:cs="Times New Roman" w:eastAsia="Times New Roman" w:hAnsi="Times New Roman"/>
          <w:sz w:val="18"/>
          <w:szCs w:val="18"/>
          <w:color w:val="auto"/>
        </w:rPr>
        <w:t>. The Company will require any successor (whether direct or indirect, by purchase, merger, consolidation, or otherwise) of all or substantially all of the business and/or assets of the Company to expressly assume and agree to perform the Company’s obligations under this Agreement in the same manner and to the same extent that the Company would be required to perform them if no such succession had taken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Assignment by the Executive</w:t>
      </w:r>
      <w:r>
        <w:rPr>
          <w:rFonts w:ascii="Times New Roman" w:cs="Times New Roman" w:eastAsia="Times New Roman" w:hAnsi="Times New Roman"/>
          <w:sz w:val="18"/>
          <w:szCs w:val="18"/>
          <w:color w:val="auto"/>
        </w:rPr>
        <w:t>. This Agreement will inure to the benefit of and be enforceable by the Executive’s personal or legal representatives, executors, administrators, successors, heirs, distributees, devisees, and legatees. If the Executive dies while any amount would still be payable to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Executive hereunder had the Executive survived, all such amounts, unless otherwise provided herein, will be paid to the Executive’s estate at the same time or times that such amounts would have been paid to the Executive hereunder had the Executive survived.</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Employment Status</w:t>
      </w:r>
      <w:r>
        <w:rPr>
          <w:rFonts w:ascii="Times New Roman" w:cs="Times New Roman" w:eastAsia="Times New Roman" w:hAnsi="Times New Roman"/>
          <w:sz w:val="18"/>
          <w:szCs w:val="18"/>
          <w:color w:val="auto"/>
        </w:rPr>
        <w:t>. 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illegal or invalid for any reason, the illegality or invalidity will not affect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remaining parts of this Agreement, and this Agreement will be construed and enforced as if the illegal or invalid provision had not been included. Further, the captions of this Agreement are not part of the provisions hereof and will have no force and effect.</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1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Applicable Law and Venue</w:t>
      </w:r>
      <w:r>
        <w:rPr>
          <w:rFonts w:ascii="Times New Roman" w:cs="Times New Roman" w:eastAsia="Times New Roman" w:hAnsi="Times New Roman"/>
          <w:sz w:val="18"/>
          <w:szCs w:val="18"/>
          <w:color w:val="auto"/>
        </w:rPr>
        <w:t>. To the extent not preempted by the laws of the United States, the laws of the State of Arizona will be the controlling law in all matters relating to this Agreement, without regard to the conflicts of law principles of any jurisdiction. The Executive and the Company agree that any action to enforce or interpret this Agreement shall be brought exclusively in a federal or state court of competent jurisdiction in Maricopa County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State of Arizona, and the Executive and the Company hereby waive any challenge to venue or exercise of jurisdiction of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Effective Date.</w:t>
      </w:r>
    </w:p>
    <w:p>
      <w:pPr>
        <w:spacing w:after="0" w:line="200"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Amkor Technology, Inc.</w:t>
        <w:tab/>
        <w:t>Executive:</w:t>
      </w:r>
    </w:p>
    <w:p>
      <w:pPr>
        <w:sectPr>
          <w:pgSz w:w="11900" w:h="16838" w:orient="portrait"/>
          <w:cols w:equalWidth="0" w:num="1">
            <w:col w:w="10139"/>
          </w:cols>
          <w:pgMar w:left="320" w:top="1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N. Rogers</w:t>
      </w:r>
    </w:p>
    <w:p>
      <w:pPr>
        <w:ind w:left="180"/>
        <w:spacing w:after="0" w:line="203" w:lineRule="auto"/>
        <w:rPr>
          <w:sz w:val="20"/>
          <w:szCs w:val="20"/>
          <w:color w:val="auto"/>
        </w:rPr>
      </w:pPr>
      <w:r>
        <w:rPr>
          <w:rFonts w:ascii="Times New Roman" w:cs="Times New Roman" w:eastAsia="Times New Roman" w:hAnsi="Times New Roman"/>
          <w:sz w:val="18"/>
          <w:szCs w:val="18"/>
          <w:color w:val="auto"/>
        </w:rPr>
        <w:t>Mark N. Rogers</w:t>
      </w:r>
    </w:p>
    <w:p>
      <w:pPr>
        <w:ind w:left="540"/>
        <w:spacing w:after="0"/>
        <w:rPr>
          <w:sz w:val="20"/>
          <w:szCs w:val="20"/>
          <w:color w:val="auto"/>
        </w:rPr>
      </w:pPr>
      <w:r>
        <w:rPr>
          <w:rFonts w:ascii="Times New Roman" w:cs="Times New Roman" w:eastAsia="Times New Roman" w:hAnsi="Times New Roman"/>
          <w:sz w:val="18"/>
          <w:szCs w:val="18"/>
          <w:color w:val="auto"/>
        </w:rPr>
        <w:t>Date: 11-15-2022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Megan Faust</w:t>
      </w:r>
    </w:p>
    <w:p>
      <w:pPr>
        <w:spacing w:after="0" w:line="371" w:lineRule="exact"/>
        <w:rPr>
          <w:sz w:val="20"/>
          <w:szCs w:val="20"/>
          <w:color w:val="auto"/>
        </w:rPr>
      </w:pPr>
    </w:p>
    <w:p>
      <w:pPr>
        <w:sectPr>
          <w:pgSz w:w="11900" w:h="16838" w:orient="portrait"/>
          <w:cols w:equalWidth="0" w:num="2">
            <w:col w:w="1820" w:space="360"/>
            <w:col w:w="7959"/>
          </w:cols>
          <w:pgMar w:left="320" w:top="1400" w:right="1440" w:bottom="1440" w:gutter="0" w:footer="0" w:header="0"/>
          <w:type w:val="continuous"/>
        </w:sectPr>
      </w:pPr>
    </w:p>
    <w:p>
      <w:pPr>
        <w:spacing w:after="0" w:line="193" w:lineRule="auto"/>
        <w:tabs>
          <w:tab w:leader="none" w:pos="4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Executive Vice President,</w:t>
      </w:r>
    </w:p>
    <w:p>
      <w:pPr>
        <w:ind w:left="1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11-15-2022</w:t>
      </w:r>
    </w:p>
    <w:p>
      <w:pPr>
        <w:sectPr>
          <w:pgSz w:w="11900" w:h="16838" w:orient="portrait"/>
          <w:cols w:equalWidth="0" w:num="1">
            <w:col w:w="10139"/>
          </w:cols>
          <w:pgMar w:left="320" w:top="1400" w:right="1440"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is a very important document, and you should thoroughly review and understand the terms and effect of this document before signing it. By signing this General Release, you will be releasing Amkor Technology, Inc., a Delaware corporation (“Amkor”), and others from all liability to you. Therefore, you</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should consult with an attorney before signing this General Release. You have 53 days to consider this document. If you have not returned a signed copy of this General Release by that time, we will assume that you have elected not to sign this General Release. If you choose to sign this General Release, you will have an additional 7 days following the date of your signature to revoke this General Release and this General Release shall not become effective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until the revocation period has expired.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payments and benefits to which I would not otherwise be entitled provided to me by Amkor as set forth in my Executive Severance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dated November 15, 2022 (the “Severance Agreement”), and other good and valuable consideration to which I would not otherwise be entitled, I, Megan Faust, on behalf of myself, my heirs, and my legal representatives and assigns, and anyone else claiming by, through, under or in concert with any of the foregoing, release (i.e., give up) and forever discharge Amkor and its current, former and future subsidiaries, their respective current, former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future, direct and indirect owners, officers, directors, employees, agents, successors, predecessors, assigns and affiliates, as well as their respective employee benefit plans (and any administrators, insurers, or fiduciaries thereof), and all persons acting by, through, under, or in concert with any of them (collectively, the “Released Parties”), from any and all known and unknown claims, demands, actions, causes of action, rights, damages, costs, expenses,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wages, vacation pay, sick or paid time off, or commissions, whether arising in contract, common law, statute or otherwise, whether foreign or domestic, whether local, state, or federal, including without limitation: Title VII of the Civil Rights Act of 1964, as amended, 42 U.S.C. § 2000e, et seq.; Sections 1981 and 1983 of the Civil Rights Act of 1866, as amended; the Age Discrimination in Employment Act (ADEA), as amended, 29 U.S.C. § 621,</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et seq.; the Employee Retirement Income Security Act of 1974 (ERISA), as amended, 29 U.S.C. § 1001, et seq.; the Americans with Disabilities Act of 1990 (ADA), as amended, 42 U.S.C. § 12101, et seq.; the Family and Medical Leave Act (FMLA), as amended, 29 U.S.C. § 2601, et seq.; the Worker Adjustment &amp; Retraining Notification Act (WARN Act), as amended; and any similar or foreign or domestic or state or local laws, such as the Arizona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Civil Rights Act and the Arizona Equal Pay Law, that I now have, or which were or could have been made, on account of my service with Amkor or any of its subsidiaries or affiliates, including my separation therefrom and any transaction or occurrence between me and the Released Parties at any time during such service and after separation up to the time I execute this General Release. I agree that I have waived all claims against the Released Parties except (i)</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respect of any obligation of Amkor arising under my Severance Agreement, (ii) vested benefits under any of Amkor’s employee benefit plans in which I participate, (iii) in respect of equity awards (including any options, RSUs, restricted stock, or any other form of equity) that I have been granted pursuant to the Amkor Technology, Inc. Second Amended and Restated 2007 Equity Incentive Plan and the Amkor Technology, Inc. 2021 Equity Incentive Plan, (iv)</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rights to indemnification under Amkor’s directors’ and officers’ insurance coverage for acts performed or omissions while I was an employee or officer of Amkor, and (v) those claims that as a matter of law are not waivable by an employee against an employee’s employer. It is my intention that the language relating to the description of claims in this paragraph shall be given the broadest possible interpretation permitted by law.</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 further agree that I will not file, cause to be filed, join, or accept any relief in any lawsuit (either individually, with others, or as part of a class) pleading, raising, or asserting any claims released in this General Release. If I breach this promise, then I will reimburse each of the Released Parties for the Released Party’s attorneys’ fees and costs (or the applicable proportions thereof) incurred in defending against any such released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General Release shall be construed to prohibit me from filing a charge with or participating in an investigation or proceeding conducted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Equal Employment Opportunity Commission (EEOC), National Labor Relations Board (NLRB), Securities and Exchange Commission (SEC), or any federal, state, or local agency. I understand that I have waived and released any and all claims for money damages and equitable relief that I may recover from the Released Parties pursuant to the filing or prosecution of any administrative charge against the Released Parties by me, or any resulting civil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proceeding or lawsuit brought on my behalf for the recovery of such relief, and which arises out of the matters that are and may be released or waived by this General Release. I also understand, however, that this General Release does not limit my ability to communicate with any government agencies or otherwise participate in any investigation or proceeding that may be conducted by any government agency, including providing documents or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information, without notice to Amkor. This General Release also does not limit my right to receive an award for information provided to any government agency. I acknowledge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0" w:right="339" w:bottom="1440" w:gutter="0" w:footer="0" w:header="0"/>
        </w:sectPr>
      </w:pPr>
    </w:p>
    <w:bookmarkStart w:id="120" w:name="page121"/>
    <w:bookmarkEnd w:id="120"/>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prohibits me or Amkor or any person or entity from (i) reporting possible violation of federal law or regulation to any governmental agency or entity or self-regulatory organization or making disclosures that are protected under the whistleblower provisions of federal law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 (ii) supplying truthful information to any governmental authority or in response to any lawful subpoena or other legal process.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shall be interpreted or applied to affect or limit my otherwise lawful ability to challenge, under the Age Discrimination in Employment Act (ADEA) or Older Worker Benefit Protection Act (OWBPA), the knowing and voluntary nature of my release of any age claims in this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General Release before a court, the EEOC, or any other federal, state, or local agency, and I shall not be required to pay the attorneys’ fees or costs of any Released Party in connection with such challenge. Notwithstanding the foregoing, unless the release is set aside by a court of law, I understand that this General Release applies to and covers any claim that I may have under the ADEA and OWBPA.</w:t>
      </w:r>
    </w:p>
    <w:p>
      <w:pPr>
        <w:spacing w:after="0" w:line="19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Except as set forth in this General Release, I understand, acknowledge, and voluntarily agree that this General Release is a total and complete release by me of any and all claims which I have against the Released Parties as of the date I sign this Agreement, both known or unknown, even though there may be facts or consequences of facts which are unknown to 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By signing below, I acknowledge that I have carefully read and fully understand the provisions of this General Release. I further acknowledge that I am signing this General Release knowingly and voluntarily and without duress, coercion or undue influence. This General Release constitutes the total and complete understanding between me and the Released Parties relating to the subject matter covered by this General Release, and all other prior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contemporaneous written or oral agreements or representations, if any, relating to the subject matter covered by this General Release are null and void. Neither the Released Parties nor their respective agents, representatives or attorneys have made any representations to me concerning the terms or effects of this General Release other than those contained herein. It is also expressly understood and agreed that the terms of this General Release may not be altered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in a writing signed by both me and Amkor.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21" w:name="page122"/>
    <w:bookmarkEnd w:id="121"/>
    <w:p>
      <w:pPr>
        <w:ind w:right="20"/>
        <w:spacing w:after="0" w:line="224" w:lineRule="auto"/>
        <w:rPr>
          <w:sz w:val="20"/>
          <w:szCs w:val="20"/>
          <w:color w:val="auto"/>
        </w:rPr>
      </w:pPr>
      <w:r>
        <w:rPr>
          <w:rFonts w:ascii="Times New Roman" w:cs="Times New Roman" w:eastAsia="Times New Roman" w:hAnsi="Times New Roman"/>
          <w:sz w:val="18"/>
          <w:szCs w:val="18"/>
          <w:i w:val="1"/>
          <w:iCs w:val="1"/>
          <w:color w:val="auto"/>
        </w:rPr>
        <w:t>I agree and acknowledge that I have carefully read and understand this General Release, including the Section labeled “Notice” on the top of the first page; that I understand, in particular that I am agreeing to release all legal claims against the Released Parties, including, without limitation, Amkor; that</w:t>
      </w:r>
    </w:p>
    <w:p>
      <w:pPr>
        <w:spacing w:after="0" w:line="226" w:lineRule="auto"/>
        <w:rPr>
          <w:sz w:val="20"/>
          <w:szCs w:val="20"/>
          <w:color w:val="auto"/>
        </w:rPr>
      </w:pPr>
      <w:r>
        <w:rPr>
          <w:rFonts w:ascii="Times New Roman" w:cs="Times New Roman" w:eastAsia="Times New Roman" w:hAnsi="Times New Roman"/>
          <w:sz w:val="18"/>
          <w:szCs w:val="18"/>
          <w:i w:val="1"/>
          <w:iCs w:val="1"/>
          <w:color w:val="auto"/>
        </w:rPr>
        <w:t>I sign this General Release knowingly and voluntarily; that I have been advised to consult with an attorney before signing it; and that this General Release shall not be subject to claims of fraud, duress and/or mistake.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INTENDING TO BE LEGALLY BOUND, I hereby set my hand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ectPr>
          <w:pgSz w:w="11900" w:h="16838" w:orient="portrait"/>
          <w:cols w:equalWidth="0" w:num="1">
            <w:col w:w="11240"/>
          </w:cols>
          <w:pgMar w:left="320" w:top="1402" w:right="3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2" w:lineRule="exact"/>
        <w:rPr>
          <w:sz w:val="20"/>
          <w:szCs w:val="20"/>
          <w:color w:val="auto"/>
        </w:rPr>
      </w:pPr>
    </w:p>
    <w:p>
      <w:pPr>
        <w:sectPr>
          <w:pgSz w:w="11900" w:h="16838" w:orient="portrait"/>
          <w:cols w:equalWidth="0" w:num="2">
            <w:col w:w="2260" w:space="720"/>
            <w:col w:w="8260"/>
          </w:cols>
          <w:pgMar w:left="320" w:top="1402" w:right="339" w:bottom="1440" w:gutter="0" w:footer="0" w:header="0"/>
          <w:type w:val="continuous"/>
        </w:sectPr>
      </w:pPr>
    </w:p>
    <w:p>
      <w:pPr>
        <w:spacing w:after="0" w:line="235" w:lineRule="auto"/>
        <w:rPr>
          <w:sz w:val="20"/>
          <w:szCs w:val="20"/>
          <w:color w:val="auto"/>
        </w:rPr>
      </w:pPr>
      <w:r>
        <w:rPr>
          <w:rFonts w:ascii="Times New Roman" w:cs="Times New Roman" w:eastAsia="Times New Roman" w:hAnsi="Times New Roman"/>
          <w:sz w:val="18"/>
          <w:szCs w:val="18"/>
          <w:color w:val="auto"/>
        </w:rPr>
        <w:t>Megan Faust</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1480" w:space="720"/>
            <w:col w:w="9040"/>
          </w:cols>
          <w:pgMar w:left="320" w:top="1402"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WITNESSED BY:</w:t>
      </w:r>
    </w:p>
    <w:p>
      <w:pPr>
        <w:sectPr>
          <w:pgSz w:w="11900" w:h="16838" w:orient="portrait"/>
          <w:cols w:equalWidth="0" w:num="1">
            <w:col w:w="11240"/>
          </w:cols>
          <w:pgMar w:left="320" w:top="1402"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20" w:lineRule="exact"/>
        <w:rPr>
          <w:sz w:val="20"/>
          <w:szCs w:val="20"/>
          <w:color w:val="auto"/>
        </w:rPr>
      </w:pPr>
    </w:p>
    <w:p>
      <w:pPr>
        <w:sectPr>
          <w:pgSz w:w="11900" w:h="16838" w:orient="portrait"/>
          <w:cols w:equalWidth="0" w:num="2">
            <w:col w:w="2260" w:space="720"/>
            <w:col w:w="8260"/>
          </w:cols>
          <w:pgMar w:left="320" w:top="140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2">
            <w:col w:w="1820" w:space="720"/>
            <w:col w:w="8700"/>
          </w:cols>
          <w:pgMar w:left="320" w:top="1402" w:right="3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6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THIS EXECUTIVE SEVERANCE AGREEMENT </w:t>
      </w:r>
      <w:r>
        <w:rPr>
          <w:rFonts w:ascii="Times New Roman" w:cs="Times New Roman" w:eastAsia="Times New Roman" w:hAnsi="Times New Roman"/>
          <w:sz w:val="18"/>
          <w:szCs w:val="18"/>
          <w:color w:val="auto"/>
        </w:rPr>
        <w:t>(this “Agreement”) is made and entered into as of the 15th day of November,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by and between Amkor Technology, Inc., a Delaware corporation (the “Company”), and Farshad Haghighi (the “Executive”).</w:t>
      </w:r>
    </w:p>
    <w:p>
      <w:pPr>
        <w:spacing w:after="0" w:line="16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and the Company desire to enter into this Agreement to provide the Executive with security in the event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terminations and to better enable the Executive to devote Executive’s best efforts to the business of the Company.</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for the foregoing premises, and the mutual covenants, terms and conditions set forth herein,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and intending to be legally bound hereby, the Company and Executive agree as follows:</w:t>
      </w:r>
    </w:p>
    <w:p>
      <w:pPr>
        <w:spacing w:after="0" w:line="14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1.</w:t>
      </w:r>
      <w:r>
        <w:rPr>
          <w:sz w:val="20"/>
          <w:szCs w:val="20"/>
          <w:color w:val="auto"/>
        </w:rPr>
        <w:tab/>
      </w:r>
      <w:r>
        <w:rPr>
          <w:rFonts w:ascii="Times New Roman" w:cs="Times New Roman" w:eastAsia="Times New Roman" w:hAnsi="Times New Roman"/>
          <w:sz w:val="17"/>
          <w:szCs w:val="17"/>
          <w:b w:val="1"/>
          <w:bCs w:val="1"/>
          <w:color w:val="auto"/>
        </w:rPr>
        <w:t>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effective from the Effective Date.</w:t>
      </w:r>
    </w:p>
    <w:p>
      <w:pPr>
        <w:spacing w:after="0" w:line="19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used in this Agreement, the following terms will have the meanings set forth below.</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 xml:space="preserve">Affiliate </w:t>
      </w:r>
      <w:r>
        <w:rPr>
          <w:rFonts w:ascii="Times New Roman" w:cs="Times New Roman" w:eastAsia="Times New Roman" w:hAnsi="Times New Roman"/>
          <w:sz w:val="18"/>
          <w:szCs w:val="18"/>
          <w:color w:val="auto"/>
        </w:rPr>
        <w:t>means a corporation or other entity controlled by, controlling or under common control with the Company, including, without limitation,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any corporation partnership, joint venture or other entity during any period in which at least a fifty percent (50%) voting or profits interest is owned, directly or indirectly, by the Company or any successor to the Company.</w:t>
      </w:r>
    </w:p>
    <w:p>
      <w:pPr>
        <w:spacing w:after="0" w:line="15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means the salary of record paid to an Executive as annual salary, excluding amounts received under incentive or other bonus plans (including, without limitation, the Bonus Plan), whether or not deferred.</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 xml:space="preserve">Board </w:t>
      </w:r>
      <w:r>
        <w:rPr>
          <w:rFonts w:ascii="Times New Roman" w:cs="Times New Roman" w:eastAsia="Times New Roman" w:hAnsi="Times New Roman"/>
          <w:sz w:val="17"/>
          <w:szCs w:val="17"/>
          <w:color w:val="auto"/>
        </w:rPr>
        <w:t>means the Board of Directors of the Company.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 xml:space="preserve">Bonus Plan </w:t>
      </w:r>
      <w:r>
        <w:rPr>
          <w:rFonts w:ascii="Times New Roman" w:cs="Times New Roman" w:eastAsia="Times New Roman" w:hAnsi="Times New Roman"/>
          <w:sz w:val="17"/>
          <w:szCs w:val="17"/>
          <w:color w:val="auto"/>
        </w:rPr>
        <w:t>means the Company’s Amended and Restated Executive Incentive Bonus Plan, or any successor plan thereto.</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if the Executive is party to an employment or similar agreement that contains a definition of “Cause,” the definition set forth in such agreement, and, in every other case, “Cause” means:</w:t>
      </w:r>
    </w:p>
    <w:p>
      <w:pPr>
        <w:spacing w:after="0" w:line="158" w:lineRule="exact"/>
        <w:rPr>
          <w:sz w:val="20"/>
          <w:szCs w:val="20"/>
          <w:color w:val="auto"/>
        </w:rPr>
      </w:pPr>
    </w:p>
    <w:p>
      <w:pPr>
        <w:ind w:left="660" w:right="20" w:firstLine="644"/>
        <w:spacing w:after="0" w:line="250" w:lineRule="auto"/>
        <w:tabs>
          <w:tab w:leader="none" w:pos="19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commission of, or guilty plea or plea of no contest to, a felony (or a crime of similar magnitude under applicable laws outside the United States) or any crime that involves moral turpitude;</w:t>
      </w:r>
    </w:p>
    <w:p>
      <w:pPr>
        <w:spacing w:after="0" w:line="149" w:lineRule="exact"/>
        <w:rPr>
          <w:rFonts w:ascii="Times New Roman" w:cs="Times New Roman" w:eastAsia="Times New Roman" w:hAnsi="Times New Roman"/>
          <w:sz w:val="18"/>
          <w:szCs w:val="18"/>
          <w:color w:val="auto"/>
        </w:rPr>
      </w:pPr>
    </w:p>
    <w:p>
      <w:pPr>
        <w:ind w:left="660" w:firstLine="644"/>
        <w:spacing w:after="0" w:line="237" w:lineRule="auto"/>
        <w:tabs>
          <w:tab w:leader="none" w:pos="19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the Executive that constitutes fraud or embezzlement or any acts of intentional dishonesty in relation to the Executive’s duties to the Company;</w:t>
      </w:r>
    </w:p>
    <w:p>
      <w:pPr>
        <w:spacing w:after="0" w:line="171" w:lineRule="exact"/>
        <w:rPr>
          <w:rFonts w:ascii="Times New Roman" w:cs="Times New Roman" w:eastAsia="Times New Roman" w:hAnsi="Times New Roman"/>
          <w:sz w:val="18"/>
          <w:szCs w:val="18"/>
          <w:color w:val="auto"/>
        </w:rPr>
      </w:pPr>
    </w:p>
    <w:p>
      <w:pPr>
        <w:ind w:left="660" w:firstLine="644"/>
        <w:spacing w:after="0" w:line="237" w:lineRule="auto"/>
        <w:tabs>
          <w:tab w:leader="none" w:pos="19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engaged in gross negligence or intentional misconduct which causes, or in the reasonable judgment of the Committee, is reasonably likely to cause, either reputational or economic harm to the Company or its Affiliates; or</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4" w:lineRule="auto"/>
        <w:tabs>
          <w:tab w:leader="none" w:pos="19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the Executive’s obligations under this Agreement (including, without limitation, Article 4 hereof), any employment or similar agreement or any written Company policy, including any code of conduct, which is not cured, if curable, within ten (10) days after the Committee notifies the Executive of such breach (which notice specifies in reasonable detail the grounds constituting Cause).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 xml:space="preserve">Change in Control </w:t>
      </w:r>
      <w:r>
        <w:rPr>
          <w:rFonts w:ascii="Times New Roman" w:cs="Times New Roman" w:eastAsia="Times New Roman" w:hAnsi="Times New Roman"/>
          <w:sz w:val="17"/>
          <w:szCs w:val="17"/>
          <w:color w:val="auto"/>
        </w:rPr>
        <w:t>has the meaning set forth in the Equity Incentive Plan.</w:t>
      </w:r>
    </w:p>
    <w:p>
      <w:pPr>
        <w:sectPr>
          <w:pgSz w:w="11900" w:h="16838" w:orient="portrait"/>
          <w:cols w:equalWidth="0" w:num="1">
            <w:col w:w="11240"/>
          </w:cols>
          <w:pgMar w:left="320" w:top="1400" w:right="339" w:bottom="1440" w:gutter="0" w:footer="0" w:header="0"/>
        </w:sectPr>
      </w:pPr>
    </w:p>
    <w:bookmarkStart w:id="123" w:name="page124"/>
    <w:bookmarkEnd w:id="12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u w:val="single" w:color="auto"/>
          <w:color w:val="auto"/>
        </w:rPr>
        <w:t xml:space="preserve">COBRA </w:t>
      </w:r>
      <w:r>
        <w:rPr>
          <w:rFonts w:ascii="Times New Roman" w:cs="Times New Roman" w:eastAsia="Times New Roman" w:hAnsi="Times New Roman"/>
          <w:sz w:val="17"/>
          <w:szCs w:val="17"/>
          <w:color w:val="auto"/>
        </w:rPr>
        <w:t>means the Consolidated Omnibus Budget Reconciliation Act of 1986, as amended from time to time.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u w:val="single" w:color="auto"/>
          <w:color w:val="auto"/>
        </w:rPr>
        <w:t xml:space="preserve">Code </w:t>
      </w:r>
      <w:r>
        <w:rPr>
          <w:rFonts w:ascii="Times New Roman" w:cs="Times New Roman" w:eastAsia="Times New Roman" w:hAnsi="Times New Roman"/>
          <w:sz w:val="17"/>
          <w:szCs w:val="17"/>
          <w:color w:val="auto"/>
        </w:rPr>
        <w:t>means the Internal Revenue Code of 1986, as amended from time to time.</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Compensation Committee of the Board or any other committee of the Board appointed to perform the functions of the Compensation Committee.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u w:val="single" w:color="auto"/>
          <w:color w:val="auto"/>
        </w:rPr>
        <w:t xml:space="preserve">Company </w:t>
      </w:r>
      <w:r>
        <w:rPr>
          <w:rFonts w:ascii="Times New Roman" w:cs="Times New Roman" w:eastAsia="Times New Roman" w:hAnsi="Times New Roman"/>
          <w:sz w:val="17"/>
          <w:szCs w:val="17"/>
          <w:color w:val="auto"/>
        </w:rPr>
        <w:t>means Amkor Technology, Inc., a Delaware corporation, or any successor thereto as provided in Article 10 herein.</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if the Executive is party to an employment agreement that contains a definition of “Disability,” the definition set forth in such agreement, and, in every other case, “Disability” means the inability of the Executive to engage in any substantial gainful activity by reason of any medically determinable physical or mental impairment which can be expected to result in death or that has lasted or can be expected to last for a continuous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period of not less than twelve (12) months, as provided in Section 22(e)(3) and 409A(A)(2)(C)(i) of the Code, and will be determined by the Committee on the basis of such medical evidence as the Committee deemed warranted under the circumstances.</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means, as applicable, the Amkor Technology, Inc. Second Amended and Restated 2007 Equity Incentive Plan, the Amkor Technology, Inc. 2021 Equity Incentive Plan, or any successor plan thereto, in each case, as amended, restated and/or supplemented from time to time.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 xml:space="preserve">Exchange Act </w:t>
      </w:r>
      <w:r>
        <w:rPr>
          <w:rFonts w:ascii="Times New Roman" w:cs="Times New Roman" w:eastAsia="Times New Roman" w:hAnsi="Times New Roman"/>
          <w:sz w:val="17"/>
          <w:szCs w:val="17"/>
          <w:color w:val="auto"/>
        </w:rPr>
        <w:t>means the Securities Exchange Act of 1934, as amended from time to time, and any successor thereto.</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 xml:space="preserve">Global Mobility Policy </w:t>
      </w:r>
      <w:r>
        <w:rPr>
          <w:rFonts w:ascii="Times New Roman" w:cs="Times New Roman" w:eastAsia="Times New Roman" w:hAnsi="Times New Roman"/>
          <w:sz w:val="17"/>
          <w:szCs w:val="17"/>
          <w:color w:val="auto"/>
        </w:rPr>
        <w:t>means the Company’s Global Mobility Policy and Procedure, as in effect from time to time.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reduction in the Executive’s authority, duties or responsibilities; (ii) a material reduction in the Executive’s Base Salary or target bonus opportunity under the Bonus Plan (in each case, other than a reduction that is imposed proportionately on substantially all executive officers); or (iii) a relocation of the Executive’s principal place of employment, without the Executive’s express written approval, to a location more than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fifty (50) miles from the location at which the Executive performs the Executive’s duties as of the Effective Date. No termination of employment by the Executive shall be treated as being for Good Reason unless the Executive provides a Notice of Termination pursuant to Section 3.5 within sixty (60) days after the time that the facts or circumstances constituting Good Reason initially arise and provides the Company a cure period of thirty (30) days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receipt of such notice, there is no cure and such resignation is effective prior to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end of such cure period.</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means a written notice which indicates the specific termination provision in this Agreement relied upon and sets forth in reasonable detail the facts and circumstances claimed to provide a basis for termination of the Executive’s employment under the provision so indicated.</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has the meaning ascribed to such term in Section 3(a)(9) of the Exchange Act and used in Sections 13(d) and 14(d) thereof, including a “group” as provided in Section 13(d).</w:t>
      </w:r>
    </w:p>
    <w:p>
      <w:pPr>
        <w:spacing w:after="0" w:line="1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 xml:space="preserve">Qualifying CIC Termination </w:t>
      </w:r>
      <w:r>
        <w:rPr>
          <w:rFonts w:ascii="Times New Roman" w:cs="Times New Roman" w:eastAsia="Times New Roman" w:hAnsi="Times New Roman"/>
          <w:sz w:val="17"/>
          <w:szCs w:val="17"/>
          <w:color w:val="auto"/>
        </w:rPr>
        <w:t>shall occur if, during the period beginning on the ninetieth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day prior to the date that a Change in Control occurs</w:t>
      </w:r>
    </w:p>
    <w:p>
      <w:pPr>
        <w:jc w:val="both"/>
        <w:spacing w:after="0" w:line="204" w:lineRule="auto"/>
        <w:rPr>
          <w:sz w:val="20"/>
          <w:szCs w:val="20"/>
          <w:color w:val="auto"/>
        </w:rPr>
      </w:pPr>
      <w:r>
        <w:rPr>
          <w:rFonts w:ascii="Times New Roman" w:cs="Times New Roman" w:eastAsia="Times New Roman" w:hAnsi="Times New Roman"/>
          <w:sz w:val="18"/>
          <w:szCs w:val="18"/>
          <w:color w:val="auto"/>
        </w:rPr>
        <w:t>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(i) by the Company for reasons other than Cause, Disability or death or (ii) by the Executive for Good Reason.</w:t>
      </w:r>
    </w:p>
    <w:p>
      <w:pPr>
        <w:spacing w:after="0" w:line="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 xml:space="preserve">Qualifying Non-CIC Termination </w:t>
      </w:r>
      <w:r>
        <w:rPr>
          <w:rFonts w:ascii="Times New Roman" w:cs="Times New Roman" w:eastAsia="Times New Roman" w:hAnsi="Times New Roman"/>
          <w:sz w:val="18"/>
          <w:szCs w:val="18"/>
          <w:color w:val="auto"/>
        </w:rPr>
        <w:t>shall occur if, any time other than during the period beginning on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the date that a</w:t>
      </w:r>
    </w:p>
    <w:p>
      <w:pPr>
        <w:jc w:val="both"/>
        <w:ind w:right="20"/>
        <w:spacing w:after="0" w:line="204" w:lineRule="auto"/>
        <w:rPr>
          <w:sz w:val="20"/>
          <w:szCs w:val="20"/>
          <w:color w:val="auto"/>
        </w:rPr>
      </w:pPr>
      <w:r>
        <w:rPr>
          <w:rFonts w:ascii="Times New Roman" w:cs="Times New Roman" w:eastAsia="Times New Roman" w:hAnsi="Times New Roman"/>
          <w:sz w:val="18"/>
          <w:szCs w:val="18"/>
          <w:color w:val="auto"/>
        </w:rPr>
        <w:t>Change in Control occurs 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by the Company for reasons other than Cause, Disability or death.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u w:val="single" w:color="auto"/>
          <w:color w:val="auto"/>
        </w:rPr>
        <w:t xml:space="preserve">Separation from Service </w:t>
      </w:r>
      <w:r>
        <w:rPr>
          <w:rFonts w:ascii="Times New Roman" w:cs="Times New Roman" w:eastAsia="Times New Roman" w:hAnsi="Times New Roman"/>
          <w:sz w:val="18"/>
          <w:szCs w:val="18"/>
          <w:color w:val="auto"/>
        </w:rPr>
        <w:t>means the Executive’s termination of employment with the Company, its Affiliates and with each member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controlled group (within the meaning of Sections 414(b) or (c) of the Code) of which the Company is a member. An Executive will not be treated as having a Separation from Service during any period the Executive’s employment relationship continues, such as a result of a leave of absence, and whether a Separation from Service has occurred shall be determined by the Committee (on a basis consistent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24" w:name="page125"/>
    <w:bookmarkEnd w:id="124"/>
    <w:p>
      <w:pPr>
        <w:jc w:val="both"/>
        <w:spacing w:after="0" w:line="222" w:lineRule="auto"/>
        <w:rPr>
          <w:sz w:val="20"/>
          <w:szCs w:val="20"/>
          <w:color w:val="auto"/>
        </w:rPr>
      </w:pPr>
      <w:r>
        <w:rPr>
          <w:rFonts w:ascii="Times New Roman" w:cs="Times New Roman" w:eastAsia="Times New Roman" w:hAnsi="Times New Roman"/>
          <w:sz w:val="18"/>
          <w:szCs w:val="18"/>
          <w:color w:val="auto"/>
        </w:rPr>
        <w:t>regulations under Section 409A of the Code) after consideration of all the facts and circumstances, including whether either no further services are to be performed or there is a reasonably anticipated permanent and substantial decrease (e.g., 80% or more) in the level of services to be performed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amount of compensation to be received for such services) below the level of services previously performed (and compensation previously received).</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auto"/>
        </w:rPr>
        <w:t xml:space="preserve">Severance Benefits </w:t>
      </w:r>
      <w:r>
        <w:rPr>
          <w:rFonts w:ascii="Times New Roman" w:cs="Times New Roman" w:eastAsia="Times New Roman" w:hAnsi="Times New Roman"/>
          <w:sz w:val="17"/>
          <w:szCs w:val="17"/>
          <w:color w:val="auto"/>
        </w:rPr>
        <w:t>means the payment of severance compensation as provided in Section 3.1 or 3.2 herein.</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8"/>
          <w:szCs w:val="18"/>
          <w:b w:val="1"/>
          <w:bCs w:val="1"/>
          <w:color w:val="auto"/>
        </w:rPr>
        <w:t>Severance Benefits</w:t>
      </w:r>
    </w:p>
    <w:p>
      <w:pPr>
        <w:spacing w:after="0" w:line="202"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Severance Benefits in Connection with a Change in Control</w:t>
      </w:r>
      <w:r>
        <w:rPr>
          <w:rFonts w:ascii="Times New Roman" w:cs="Times New Roman" w:eastAsia="Times New Roman" w:hAnsi="Times New Roman"/>
          <w:sz w:val="18"/>
          <w:szCs w:val="18"/>
          <w:color w:val="auto"/>
        </w:rPr>
        <w:t xml:space="preserve">. If a Qualifying CIC Termination of the Executive occurs, and provided that the Executive executes and does not revoke the release of claims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w:t>
      </w:r>
    </w:p>
    <w:p>
      <w:pPr>
        <w:spacing w:after="0"/>
        <w:rPr>
          <w:sz w:val="20"/>
          <w:szCs w:val="20"/>
          <w:color w:val="auto"/>
        </w:rPr>
      </w:pPr>
      <w:r>
        <w:rPr>
          <w:rFonts w:ascii="Times New Roman" w:cs="Times New Roman" w:eastAsia="Times New Roman" w:hAnsi="Times New Roman"/>
          <w:sz w:val="18"/>
          <w:szCs w:val="18"/>
          <w:color w:val="auto"/>
        </w:rPr>
        <w:t>following payments and benefits:</w:t>
      </w:r>
    </w:p>
    <w:p>
      <w:pPr>
        <w:spacing w:after="0" w:line="165" w:lineRule="exact"/>
        <w:rPr>
          <w:sz w:val="20"/>
          <w:szCs w:val="20"/>
          <w:color w:val="auto"/>
        </w:rPr>
      </w:pPr>
    </w:p>
    <w:p>
      <w:pPr>
        <w:jc w:val="both"/>
        <w:ind w:left="660" w:firstLine="644"/>
        <w:spacing w:after="0" w:line="231" w:lineRule="auto"/>
        <w:tabs>
          <w:tab w:leader="none" w:pos="19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one and one-half (1.5) times the sum of (i) the Executive’s Base Salary immediately prior to the Qualifying CIC Termination and (ii)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the amount of premiums that the Executive and his or her eligible dependents would be required to pay for continued coverage under the Company’s group health plans pursuant to COBRA for 18 months,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the Change in Control shall become 100% vested as of the later of the date of the Qualifying CIC Termination and the Change in Control (but immediately prior to the consummation thereof), and any such equity award that is a stock option shall remain exercisable until the earlier of (i) twenty-four (24) months following the date of such Qualifying CIC Termination, or (ii) the original expiration date of such award (subject to the treatment of such equity award in connection with such Change in Control); and</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the Change in Control shall remain subject to the provisions of the applicable award agreement and the Equity Incentive Plan.</w:t>
      </w:r>
    </w:p>
    <w:p>
      <w:pPr>
        <w:spacing w:after="0" w:line="17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Severance Benefits Not in Connection with a Change in Control</w:t>
      </w:r>
      <w:r>
        <w:rPr>
          <w:rFonts w:ascii="Times New Roman" w:cs="Times New Roman" w:eastAsia="Times New Roman" w:hAnsi="Times New Roman"/>
          <w:sz w:val="18"/>
          <w:szCs w:val="18"/>
          <w:color w:val="auto"/>
        </w:rPr>
        <w:t>. If a Qualifying Non-CIC Termination of the Executive occurs, and provided that the Executive executes and does not revoke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 following payments and benefits:</w:t>
      </w:r>
    </w:p>
    <w:p>
      <w:pPr>
        <w:spacing w:after="0" w:line="171" w:lineRule="exact"/>
        <w:rPr>
          <w:sz w:val="20"/>
          <w:szCs w:val="20"/>
          <w:color w:val="auto"/>
        </w:rPr>
      </w:pPr>
    </w:p>
    <w:p>
      <w:pPr>
        <w:jc w:val="both"/>
        <w:ind w:left="660" w:firstLine="644"/>
        <w:spacing w:after="0" w:line="224" w:lineRule="auto"/>
        <w:tabs>
          <w:tab w:leader="none" w:pos="195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(1) times the sum of (i) the Executive’s Base Salary immediately prior to the Qualifying Non-CIC Termination and (ii) the Executive’s target bonus amount under the Bonus Plan for the year of termination, payable in substantially equal bi-weekly installments for a period of twelve (12) months, beginning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actual bonus under the Bonus Plan for the year of termination, if any, the Executive would have been paid for such year absent such termination, but determined without respect to any discretionary component and the non-discretionary components shall be reweighted proportionally, payable on the latest of (i) the date on which the Company pays bonuses for such year generally, (ii) the date on which the Release becomes effective, and (iii)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95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premiums that the Executive and the Executive’s eligible dependents would be required to pay for continued coverage under the Company’s group health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25" w:name="page126"/>
    <w:bookmarkEnd w:id="125"/>
    <w:p>
      <w:pPr>
        <w:ind w:left="660"/>
        <w:spacing w:after="0" w:line="237" w:lineRule="auto"/>
        <w:rPr>
          <w:sz w:val="20"/>
          <w:szCs w:val="20"/>
          <w:color w:val="auto"/>
        </w:rPr>
      </w:pPr>
      <w:r>
        <w:rPr>
          <w:rFonts w:ascii="Times New Roman" w:cs="Times New Roman" w:eastAsia="Times New Roman" w:hAnsi="Times New Roman"/>
          <w:sz w:val="18"/>
          <w:szCs w:val="18"/>
          <w:color w:val="auto"/>
        </w:rPr>
        <w:t>pursuant to COBRA for twelve (12) months, payable in substantially equal bi-weekly installments for a period of twelve (12) months, beginning on the first payroll date after the Release becomes effective or such later date as may be required to comply with Section 409A of the Code; and</w:t>
      </w:r>
    </w:p>
    <w:p>
      <w:pPr>
        <w:spacing w:after="0" w:line="172" w:lineRule="exact"/>
        <w:rPr>
          <w:sz w:val="20"/>
          <w:szCs w:val="20"/>
          <w:color w:val="auto"/>
        </w:rPr>
      </w:pPr>
    </w:p>
    <w:p>
      <w:pPr>
        <w:jc w:val="both"/>
        <w:ind w:left="660" w:right="20" w:firstLine="644"/>
        <w:spacing w:after="0" w:line="226" w:lineRule="auto"/>
        <w:tabs>
          <w:tab w:leader="none" w:pos="19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such Qualifying Non-CIC Termination shall remain subject to the provisions of the applicable award agreement and the Equity Incentive Plan; and</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such Qualifying Non-CIC Termination shall remain subject to the provisions of the applicable award agreement and the Equity Incentive Plan.</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Other Terminations of Employment</w:t>
      </w:r>
      <w:r>
        <w:rPr>
          <w:rFonts w:ascii="Times New Roman" w:cs="Times New Roman" w:eastAsia="Times New Roman" w:hAnsi="Times New Roman"/>
          <w:sz w:val="18"/>
          <w:szCs w:val="18"/>
          <w:color w:val="auto"/>
        </w:rPr>
        <w:t>. For the avoidance of doubt, if, at any time, the Executive’s employment is terminated and such termination of employment is not a Qualifying CIC Termination or a Qualifying Non-CIC Termination, the Executive will not be entitled to the Severance Benefits described in Section 3.1 or 3.2.</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With respect to any Separation from Service, the Company will pay the Executive an amount equal to: (i) unpaid Base Salary earned prior to the date of the Executive’s Separation from Service; (ii) unused vacation time accrued prior to the date of the Executive’s Separation from Service; and (iii) vested benefits earned under any employee benefit plan or program, in accordance with the terms and conditions thereof.</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employment by the Company or by the Executive for Good Reason will be communicated by a Notice of Termination.</w:t>
      </w:r>
    </w:p>
    <w:p>
      <w:pPr>
        <w:spacing w:after="0" w:line="15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8"/>
          <w:szCs w:val="18"/>
          <w:b w:val="1"/>
          <w:bCs w:val="1"/>
          <w:color w:val="auto"/>
        </w:rPr>
        <w:t>Return of Property; Restrictive Covenants; Cooperation</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On or before the Executive’s Separation from Service, the Executive shall return to the Company all files, memoranda, documents, records, copies of the foregoing, Company-provided credit cards, keys, building passes, security passes, access or identification cards, and any other Company property in the Executive’s possession or control. To the extent the Executive subsequently discovers that any property or data identified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above is still in the Executive’s possession, custody or control after the Executive’s Separation from Service, the Executive shall return all such property and data to the Company as soon as practicable, but in no event later than ten (10) days after making such discovery. On or before the Executive’s Separation from Service, the Executive shall clear all expense accounts, repay everything the Executive owes to the Company or any Affiliate thereof, pay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amounts the Executive owes on Company-provided credit cards or accounts (such as cell phone accounts), and cancel or personally assume any such credit cards or accounts. On and after the Executive’s Separation from Service, the Executive shall not incur any expenses, obligations, or liabilities on behalf of the Company or any of its Affiliates.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Beginning on the date hereof and continuing until the Executive’s Separation from Service (the “Restriction Period”), the Executive shall not, without the express prior written consent of the Committee, engage in or carry on, directly or indirectly, whether as an advisor, principal, agent, partner, officer, director, employee, stockholder, associate or consultant to any Person, or any other business entity, the business of</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outsourced semiconductor packaging or test services anywhere in the United States or any other country in which the Company conducts business; provided that ownership by the Executive of Company securities or of less than a five percent (5%) publicly traded equity interest in a public company shall not be a breach of this Section 4.2.</w:t>
      </w:r>
    </w:p>
    <w:p>
      <w:pPr>
        <w:spacing w:after="0" w:line="17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Restriction Period, the Executive shall not, without the express prior written consent of the Board, directly or indirectly, for the Executive or on behalf of any other Person or any other business entity, (i) solicit or encourage any customer, vendor, client or prospective customer, vendor or client (or anyone who was a customer, vendor or client during the Restriction Period) to cease any relationship with the Company or any of its Affiliates or (ii) solicit or encourage any employee or consultant of the Company or any of its Affiliates (or anyone who was an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employee or consultant of the Company or any of its Affiliates during the Restriction Period) to leave the employment of or cease to perform services for the Company or any of its Affiliates; provided that this Section 4.3 shall not prohibit any general public advertisement or general solicitation for personnel not specifically directed at any employee or consultant of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26" w:name="page127"/>
    <w:bookmarkEnd w:id="126"/>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Post-Separation from Service Non-Solicitation</w:t>
      </w:r>
      <w:r>
        <w:rPr>
          <w:rFonts w:ascii="Times New Roman" w:cs="Times New Roman" w:eastAsia="Times New Roman" w:hAnsi="Times New Roman"/>
          <w:sz w:val="18"/>
          <w:szCs w:val="18"/>
          <w:color w:val="auto"/>
        </w:rPr>
        <w:t>. Beginning on the date hereof and continuing for twelve (12) months following the Executive’s Separation from Service, the Executive shall not, without the express prior written consent of the Board, directly or indirectly, for the Executive or 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behalf of any other Person or any other business entity, solicit or encourage any employee or consultant of the Company or any of its Affiliates to leave the employment of or cease to perform services for the Company or any of its Affiliates; provided that this Section 4.4 shall not prohibit any general public advertisement or general solicitation for personnel not specifically directed at any employee or consultant of the Company or any of its Affiliates.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Beginning on the date hereof and at all times hereafter, the Executive shall not make any public statement that is in any way disparaging, derogatory or defamatory regarding the Company, any of its Affiliates or any of their respective officers, directors, employees, consultants, reputations, products, operations, procedures, policies or services, which is reasonably likely to (i) damage materially the reputation of the Company or any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its Affiliates or (ii) interfere materially with the contracts or business relationships of the Company or any of its Affiliates. “Public statements” mean any statement, whether written or oral, made in any public forum, including in any social media or website. However, nothing in this Section 4.5 or otherwise shall prohibit the Executive from (i) testifying truthfully in any forum, (ii) contacting, cooperating with or providing truthful information to any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government agency or commission, or (iii) discussing or disclosing information about unlawful acts in the workplace, such as harassment or discrimination or any other conduct that the Executive has reason to believe is unlawful.</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Executive’s Separation from Service, the Executive shall provide reasonable assistance to and cooperate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and its Affiliates as to any claims, controversies, disputes, or complaints of which the Executive has knowledge or that may relate to the Executive or the Executive’s employment or other relationships with the Company or any of its Affiliates. Such cooperation includes but is not limited to providing the Company and its Affiliates with all information known to the Executive related to the foregoing, meeting with counsel, and appearing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giving testimony in any forum. The Company will reimburse the Executive for any reasonable out-of-pocket expenses incurred by the Executive in providing assistance under this Section 4.6.</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7"/>
          <w:szCs w:val="17"/>
          <w:b w:val="1"/>
          <w:bCs w:val="1"/>
          <w:color w:val="auto"/>
        </w:rPr>
        <w:t>Excise Tax Under Section 4999 of the Code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Excess Parachute Payments</w:t>
      </w:r>
      <w:r>
        <w:rPr>
          <w:rFonts w:ascii="Times New Roman" w:cs="Times New Roman" w:eastAsia="Times New Roman" w:hAnsi="Times New Roman"/>
          <w:sz w:val="18"/>
          <w:szCs w:val="18"/>
          <w:color w:val="auto"/>
        </w:rPr>
        <w:t>. Notwithstanding any provision of this Agreement to the contrary, if any payment or benefit the Executive would receive pursuant to this Agreement or otherwise (collectively, the “Payments”) would constitute a “parachute payment” within the meaning of Section 280G of the Code, and, but for this Section 5.1, would be subject to the excise tax imposed by Section 4999 of the Code or any similar or successor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 (the “Excise Tax”),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maximum reduction in federal income taxes which could be obtained from a deduction of such state and local taxes), results in the Executive’s receipt, on an after-tax basis, of the greatest amount of the Payments. Any reduction in the Payments required by this Section 5.1 will be made in the following order:</w:t>
      </w:r>
    </w:p>
    <w:p>
      <w:pPr>
        <w:spacing w:after="0" w:line="1" w:lineRule="exact"/>
        <w:rPr>
          <w:sz w:val="20"/>
          <w:szCs w:val="20"/>
          <w:color w:val="auto"/>
        </w:rPr>
      </w:pPr>
    </w:p>
    <w:p>
      <w:pPr>
        <w:jc w:val="both"/>
        <w:ind w:firstLine="8"/>
        <w:spacing w:after="0" w:line="218" w:lineRule="auto"/>
        <w:tabs>
          <w:tab w:leader="none" w:pos="21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cash payments; (ii) reduction of accelerated vesting of equity awards other than stock options; (iii) reduction of accelerated vesting of stock options; and (iv) reduction of other benefits paid or provided to the Executive. If acceleration of vesting of equity awards is to be reduced, such acceleration of vesting will be cancelled in the reverse order of the date of grant of the Executive’s equity awards. If two or more equity awards are granted on the same date, the accelerated vesting of each award will be reduced on a pro-rata basis.</w:t>
      </w:r>
    </w:p>
    <w:p>
      <w:pPr>
        <w:spacing w:after="0" w:line="17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Determination by Accounting Firm</w:t>
      </w:r>
      <w:r>
        <w:rPr>
          <w:rFonts w:ascii="Times New Roman" w:cs="Times New Roman" w:eastAsia="Times New Roman" w:hAnsi="Times New Roman"/>
          <w:sz w:val="18"/>
          <w:szCs w:val="18"/>
          <w:color w:val="auto"/>
        </w:rPr>
        <w:t>. The professional accounting firm engaged by the Company for general tax purposes as of the day prior to the date of the event that might reasonably be anticipated to result in Payments that would otherwise be subject to the Excise Tax will perform the foregoing calculations. If the firm so engaged by the Company is serving as accountant or auditor for the acquiring company, the Company will appoint a nationally recognized accounting firm to make the determinations required by Section 5.1. The Company will bear all expenses with respect to the determinations by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firm required to be made by Section 5.1. The Company and the Executive shall furnish such firm such information and documents as the firm may reasonably request to make its required determination. The firm will provide its calculations, together with detailed supporting documentation, to the Company and the Executive as soon as practicable following its engagement. Any good faith determinations of the firm made hereunder will be final,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binding and conclusive upon the Company and the Executive.</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27" w:name="page128"/>
    <w:bookmarkEnd w:id="127"/>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The Company will be entitled to withhold from any amounts payable under this Agreement all taxes as it may believe are reasonably required to be withheld (including, without limitation, any United States federal taxes and any other state, city, local or foreign taxes).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Mandatory Deferral Rule</w:t>
      </w:r>
      <w:r>
        <w:rPr>
          <w:rFonts w:ascii="Times New Roman" w:cs="Times New Roman" w:eastAsia="Times New Roman" w:hAnsi="Times New Roman"/>
          <w:sz w:val="18"/>
          <w:szCs w:val="18"/>
          <w:color w:val="auto"/>
        </w:rPr>
        <w:t>. Notwithstanding any other provision of this Agreement to the contrary, any payment that constitutes the deferral of compensation (within the meaning of Treasury Regulation Section 1.409A-1(b)) that is otherwise required to be made to the Executive prior to the day after the date that is six (6) months from the Executive’s Separation from Service shall be accumulated, deferred and paid in a lump sum to the Executive (with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interest on the amount deferred from the Executive’s Separation from Service until the day prior to the actual payment at the federal short-term rate on the date of the Executive’s Separation from Service) on the day after the date that is six (6) months from the date of the Executive’s Separation from Service; provided, however, if Executive dies prior to the expiration of such six (6)-month period, payment to the Executive’s estate shall be made as soon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practicable following the Executive’s death.</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8"/>
          <w:szCs w:val="18"/>
          <w:b w:val="1"/>
          <w:bCs w:val="1"/>
          <w:color w:val="auto"/>
        </w:rPr>
        <w:t>No Mitigation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will not be obligated to seek other employment in mitigation of the amounts payable made under any provision of this Agreement, and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obtaining of any such other employment will in no event effect any reduction of the Company’s obligations to make the payments required to be made under this Agreement. Notwithstanding anything in this Agreement to the contrary, if the Severance Benefits are paid under this Agreement, no severance benefits under any program of the Company, other than benefits described in this Agreement, will be paid to the Executive.</w:t>
      </w:r>
    </w:p>
    <w:p>
      <w:pPr>
        <w:spacing w:after="0" w:line="16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8"/>
          <w:szCs w:val="18"/>
          <w:b w:val="1"/>
          <w:bCs w:val="1"/>
          <w:color w:val="auto"/>
        </w:rPr>
        <w:t>Relocation</w:t>
      </w:r>
    </w:p>
    <w:p>
      <w:pPr>
        <w:spacing w:after="0" w:line="189"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If the Executive is on an expatriate assignment under the Global Mobility Policy and a Qualifying CIC Termination or a Qualifying Non-CIC Termination occurs, then, notwithstanding anything in the Global Mobility Policy to the contrary, the Executive will be eligible for relocation benefits back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home country consistent with those provided under the Global Mobility Policy.</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8"/>
          <w:szCs w:val="18"/>
          <w:b w:val="1"/>
          <w:bCs w:val="1"/>
          <w:color w:val="auto"/>
        </w:rPr>
        <w:t>Outplacement Assistance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 Qualifying CIC Termination or a Qualifying Non-CIC Termination, the Executive will be reimbursed by the Company for the reasonable costs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outplacement services obtained by the Executive within the six (6)-month period after the Executive’s Separation from Service, upon receipt by the Company of documentation evidencing the actual cost of such services; provided, however, that reimbursements must be made by the end of the year following the year in which the Separation from Service occurs.</w:t>
      </w:r>
    </w:p>
    <w:p>
      <w:pPr>
        <w:spacing w:after="0" w:line="1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7"/>
          <w:szCs w:val="17"/>
          <w:b w:val="1"/>
          <w:bCs w:val="1"/>
          <w:color w:val="auto"/>
        </w:rPr>
        <w:t>Successors and Assignment</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Successors to the Company</w:t>
      </w:r>
      <w:r>
        <w:rPr>
          <w:rFonts w:ascii="Times New Roman" w:cs="Times New Roman" w:eastAsia="Times New Roman" w:hAnsi="Times New Roman"/>
          <w:sz w:val="18"/>
          <w:szCs w:val="18"/>
          <w:color w:val="auto"/>
        </w:rPr>
        <w:t>. The Company will require any successor (whether direct or indirect, by purchase, merger, consolidation, or otherwise) of all or substantially all of the business and/or assets of the Company to expressly assume and agree to perform the Company’s obligations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this Agreement in the same manner and to the same extent that the Company would be required to perform them if no such succession had taken place.</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Assignment by the Executive</w:t>
      </w:r>
      <w:r>
        <w:rPr>
          <w:rFonts w:ascii="Times New Roman" w:cs="Times New Roman" w:eastAsia="Times New Roman" w:hAnsi="Times New Roman"/>
          <w:sz w:val="18"/>
          <w:szCs w:val="18"/>
          <w:color w:val="auto"/>
        </w:rPr>
        <w:t>. This Agreement will inure to the benefit of and be enforceable by the Executive’s personal or legal representatives,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executors, administrators, successors, heirs, distributees, devisees, and legatees. If the Executive dies while any amount would still be payable to the Executive hereunder had the Executive survived, all such amounts, unless otherwise provided herein, will be paid to the Executive’s estate at the same time or times that such amounts would have been paid to the Executive hereunder had the Executive survived.</w:t>
      </w:r>
    </w:p>
    <w:p>
      <w:pPr>
        <w:spacing w:after="0" w:line="16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Employment Status</w:t>
      </w:r>
      <w:r>
        <w:rPr>
          <w:rFonts w:ascii="Times New Roman" w:cs="Times New Roman" w:eastAsia="Times New Roman" w:hAnsi="Times New Roman"/>
          <w:sz w:val="18"/>
          <w:szCs w:val="18"/>
          <w:color w:val="auto"/>
        </w:rPr>
        <w:t>. 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illegal or invalid for any reason, the illegality or invalidity will not affect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remaining parts of this Agreement, and this Agreement will be construed and enforced as if the illegal or invalid provision had not been included. Further, the captions of this Agreement are not part of the provisions hereof and will have no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128" w:name="page129"/>
    <w:bookmarkEnd w:id="128"/>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Applicable Law and Venue</w:t>
      </w:r>
      <w:r>
        <w:rPr>
          <w:rFonts w:ascii="Times New Roman" w:cs="Times New Roman" w:eastAsia="Times New Roman" w:hAnsi="Times New Roman"/>
          <w:sz w:val="18"/>
          <w:szCs w:val="18"/>
          <w:color w:val="auto"/>
        </w:rPr>
        <w:t>. To the extent not preempted by the laws of the United States, the laws of the State of Arizona will be the controlling law in all matters relating to this Agreement, without regard to the conflicts of law principles of any jurisdiction. The Executive and the Company agree that any action to enforce or interpret this Agreement shall be brought exclusively in a federal or state court of competent jurisdiction in Maricopa County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State of Arizona, and the Executive and the Company hereby waive any challenge to venue or exercise of jurisdiction of such courts.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4"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Effective Date.</w:t>
      </w:r>
    </w:p>
    <w:p>
      <w:pPr>
        <w:spacing w:after="0" w:line="200"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Amkor Technology, Inc.</w:t>
        <w:tab/>
        <w:t>Executive:</w:t>
      </w:r>
    </w:p>
    <w:p>
      <w:pPr>
        <w:sectPr>
          <w:pgSz w:w="11900" w:h="16838" w:orient="portrait"/>
          <w:cols w:equalWidth="0" w:num="1">
            <w:col w:w="10139"/>
          </w:cols>
          <w:pgMar w:left="320" w:top="1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N. Rogers</w:t>
      </w:r>
    </w:p>
    <w:p>
      <w:pPr>
        <w:ind w:left="180"/>
        <w:spacing w:after="0" w:line="203" w:lineRule="auto"/>
        <w:rPr>
          <w:sz w:val="20"/>
          <w:szCs w:val="20"/>
          <w:color w:val="auto"/>
        </w:rPr>
      </w:pPr>
      <w:r>
        <w:rPr>
          <w:rFonts w:ascii="Times New Roman" w:cs="Times New Roman" w:eastAsia="Times New Roman" w:hAnsi="Times New Roman"/>
          <w:sz w:val="18"/>
          <w:szCs w:val="18"/>
          <w:color w:val="auto"/>
        </w:rPr>
        <w:t>Mark N. Rogers</w:t>
      </w:r>
    </w:p>
    <w:p>
      <w:pPr>
        <w:ind w:left="540"/>
        <w:spacing w:after="0"/>
        <w:rPr>
          <w:sz w:val="20"/>
          <w:szCs w:val="20"/>
          <w:color w:val="auto"/>
        </w:rPr>
      </w:pPr>
      <w:r>
        <w:rPr>
          <w:rFonts w:ascii="Times New Roman" w:cs="Times New Roman" w:eastAsia="Times New Roman" w:hAnsi="Times New Roman"/>
          <w:sz w:val="18"/>
          <w:szCs w:val="18"/>
          <w:color w:val="auto"/>
        </w:rPr>
        <w:t>Date: 11-15-2022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Farshad Haghighi</w:t>
      </w:r>
    </w:p>
    <w:p>
      <w:pPr>
        <w:spacing w:after="0" w:line="383" w:lineRule="exact"/>
        <w:rPr>
          <w:sz w:val="20"/>
          <w:szCs w:val="20"/>
          <w:color w:val="auto"/>
        </w:rPr>
      </w:pPr>
    </w:p>
    <w:p>
      <w:pPr>
        <w:sectPr>
          <w:pgSz w:w="11900" w:h="16838" w:orient="portrait"/>
          <w:cols w:equalWidth="0" w:num="2">
            <w:col w:w="1820" w:space="360"/>
            <w:col w:w="7959"/>
          </w:cols>
          <w:pgMar w:left="320" w:top="1400" w:right="1440" w:bottom="1440" w:gutter="0" w:footer="0" w:header="0"/>
          <w:type w:val="continuous"/>
        </w:sectPr>
      </w:pPr>
    </w:p>
    <w:p>
      <w:pPr>
        <w:spacing w:after="0" w:line="193" w:lineRule="auto"/>
        <w:tabs>
          <w:tab w:leader="none" w:pos="4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Executive Vice President,</w:t>
      </w:r>
    </w:p>
    <w:p>
      <w:pPr>
        <w:ind w:left="1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11-15-2022</w:t>
      </w:r>
    </w:p>
    <w:p>
      <w:pPr>
        <w:sectPr>
          <w:pgSz w:w="11900" w:h="16838" w:orient="portrait"/>
          <w:cols w:equalWidth="0" w:num="1">
            <w:col w:w="10139"/>
          </w:cols>
          <w:pgMar w:left="320" w:top="1400" w:right="1440"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is a very important document, and you should thoroughly review and understand the terms and effect of this document before signing it. By signing this General Release, you will be releasing Amkor Technology, Inc., a Delaware corporation (“Amkor”), and others from all liability to you. Therefore, you</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should consult with an attorney before signing this General Release. You have 53 days to consider this document. If you have not returned a signed copy of this General Release by that time, we will assume that you have elected not to sign this General Release. If you choose to sign this General Release, you will have an additional 7 days following the date of your signature to revoke this General Release and this General Release shall not become effective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until the revocation period has expired.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payments and benefits to which I would not otherwise be entitled provided to me by Amkor as set forth in my Executive Severance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dated November 15, 2022 (the “Severance Agreement”), and other good and valuable consideration to which I would not otherwise be entitled, I, Farshad Haghighi, on behalf of myself, my heirs, and my legal representatives and assigns, and anyone else claiming by, through, under or in concert with any of the foregoing, release (i.e., give up) and forever discharge Amkor and its current, former and future subsidiaries, their respective current,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former and future, direct and indirect owners, officers, directors, employees, agents, successors, predecessors, assigns and affiliates, as well as their respective employee benefit plans (and any administrators, insurers, or fiduciaries thereof), and all persons acting by, through, under, or in concert with any of them (collectively, the “Released Parties”), from any and all known and unknown claims, demands, actions, causes of action, rights, damages, costs,</w:t>
      </w:r>
    </w:p>
    <w:p>
      <w:pPr>
        <w:spacing w:after="0" w:line="2" w:lineRule="exact"/>
        <w:rPr>
          <w:sz w:val="20"/>
          <w:szCs w:val="20"/>
          <w:color w:val="auto"/>
        </w:rPr>
      </w:pPr>
    </w:p>
    <w:p>
      <w:pPr>
        <w:jc w:val="both"/>
        <w:ind w:right="20"/>
        <w:spacing w:after="0" w:line="203" w:lineRule="auto"/>
        <w:rPr>
          <w:sz w:val="20"/>
          <w:szCs w:val="20"/>
          <w:color w:val="auto"/>
        </w:rPr>
      </w:pPr>
      <w:r>
        <w:rPr>
          <w:rFonts w:ascii="Times New Roman" w:cs="Times New Roman" w:eastAsia="Times New Roman" w:hAnsi="Times New Roman"/>
          <w:sz w:val="18"/>
          <w:szCs w:val="18"/>
          <w:color w:val="auto"/>
        </w:rPr>
        <w:t>expenses, compensation, wages, vacation pay, sick or paid time off, or commissions, whether arising in contract, common law, statute or otherwise, whether foreign or domestic, whether local, state, or federal, including without limitation: Title VII of the Civil Rights Act of 1964, as amended, 42 U.S.C.</w:t>
      </w:r>
    </w:p>
    <w:p>
      <w:pPr>
        <w:spacing w:after="0" w:line="1" w:lineRule="exact"/>
        <w:rPr>
          <w:sz w:val="20"/>
          <w:szCs w:val="20"/>
          <w:color w:val="auto"/>
        </w:rPr>
      </w:pPr>
    </w:p>
    <w:p>
      <w:pPr>
        <w:jc w:val="both"/>
        <w:ind w:firstLine="8"/>
        <w:spacing w:after="0" w:line="210" w:lineRule="auto"/>
        <w:tabs>
          <w:tab w:leader="none" w:pos="1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2000e, et seq.; Sections 1981 and 1983 of the Civil Rights Act of 1866, as amended; the Age Discrimination in Employment Act (ADEA), as amended, 29 U.S.C. § 621, et seq.; the Employee Retirement Income Security Act of 1974 (ERISA), as amended, 29 U.S.C. § 1001, et seq.; the Americans with Disabilities Act of 1990 (ADA), as amended, 42 U.S.C. § 12101, et seq.; the Family and Medical Leave Act (FMLA), as amended, 29 U.S.C. § 2601, et seq.; the Worker Adjustment &amp; Retraining Notification Act (WARN Act), as amended; and any similar or foreign or domestic or state or local laws, such as the Arizona Civil Rights Act, the Arizona Equal Pay Law, the California Family Rights Act, the Moore-Brown-Roberti Family Rights Act, the California Worker Adjustment and Retraining Notification Act, the California Labor Code (including without limitation the California political activities discrimination statute, Cal. Labor Code § 1101; California crime victim or domestic violence victim discrimination statute, Cal. Labor Code § 230; and California equal pay law, Cal. Labor Code § 1197.5), in each case as amended, that I now have, or which were or could have been made, on account of my service with Amkor or any of its subsidiaries or affiliates, including my separation therefrom and any transaction or occurrence between me and the Released Parties at any time during such service and after separation up to the time I execute this General Release. I agree that I have waived all claims against the Released Parties except (i) in respect of any obligation of Amkor arising under my Severance Agreement, (ii) vested benefits under any of Amkor’s employee benefit plans in which I participate, (iii) in respect of equity awards (including any options, RSUs, restricted stock, or any other form of equity) that I have been granted pursuant to the Amkor Technology, Inc. Second Amended and Restated 2007 Equity Incentive Plan and the Amkor Technology, Inc. 2021 Equity Incentive Plan, (iv) all rights to indemnification under Amkor’s directors’ and officers’ insurance coverage for acts performed or omissions while I was an employee or officer of Amkor, and (v) those claims that as a matter of law are not waivable by an employee against an employee’s employer. It is my intention that the language relating to the description of claims in this paragraph shall be given the broadest possible interpretation permitted by law.</w:t>
      </w:r>
    </w:p>
    <w:p>
      <w:pPr>
        <w:spacing w:after="0" w:line="20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 further agree that I will not file, cause to be filed, join, or accept any relief in any lawsuit (either individually, with others, or as part of a class) pleading, raising, or asserting any claims released in this General Release. If I breach this promise, then I will reimburse each of the Released Parties for the Released Party’s attorneys’ fees and costs (or the applicable proportions thereof) incurred in defending against any such released claims.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Nothing in this General Release shall be construed to prohibit me from filing a charge with or participating in an investigation or proceeding conducted by the Equal Employment Opportunity Commission (EEOC), National Labor Relations Board (NLRB), Securities and Exchange Commission (SEC), or any federal, state, or local agency. I understand that I have waived and released any and all claims for money damages and equitable relief that I may recover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from the Released Parties pursuant to the filing or prosecution of any administrative charge against the Released Parties by me, or any resulting civil proceeding or lawsuit brought on my behalf for the recovery of such relief, and which arises out of the matters that are and may be released or waived by this General Release. I also</w:t>
      </w:r>
    </w:p>
    <w:p>
      <w:pPr>
        <w:sectPr>
          <w:pgSz w:w="11900" w:h="16838" w:orient="portrait"/>
          <w:cols w:equalWidth="0" w:num="1">
            <w:col w:w="11240"/>
          </w:cols>
          <w:pgMar w:left="320" w:top="1400" w:right="339" w:bottom="1440" w:gutter="0" w:footer="0" w:header="0"/>
        </w:sectPr>
      </w:pPr>
    </w:p>
    <w:bookmarkStart w:id="131" w:name="page132"/>
    <w:bookmarkEnd w:id="131"/>
    <w:p>
      <w:pPr>
        <w:jc w:val="both"/>
        <w:spacing w:after="0" w:line="222" w:lineRule="auto"/>
        <w:rPr>
          <w:sz w:val="20"/>
          <w:szCs w:val="20"/>
          <w:color w:val="auto"/>
        </w:rPr>
      </w:pPr>
      <w:r>
        <w:rPr>
          <w:rFonts w:ascii="Times New Roman" w:cs="Times New Roman" w:eastAsia="Times New Roman" w:hAnsi="Times New Roman"/>
          <w:sz w:val="18"/>
          <w:szCs w:val="18"/>
          <w:color w:val="auto"/>
        </w:rPr>
        <w:t>understand, however, that this General Release does not limit my ability to communicate with any government agencies or otherwise participate in any investigation or proceeding that may be conducted by any government agency, including providing documents or other information, without notice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Amkor. This General Release also does not limit my right to receive an award for information provided to any government agency. I acknowledge that nothing in this General Release prohibits me or Amkor or any person or entity from (i) reporting possible violation of federal law or regulation to any governmental agency or entity or self-regulatory organization or making disclosures that are protected under the whistleblower provisions of federal law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 (ii) supplying truthful information to any governmental authority or in response to any lawful subpoena or other legal process.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shall be interpreted or applied to affect or limit my otherwise lawful ability to challenge, under the Age Discrimination in Employment Act (ADEA) or Older Worker Benefit Protection Act (OWBPA), the knowing and voluntary nature of my release of any age claims in this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General Release before a court, the EEOC, or any other federal, state, or local agency, and I shall not be required to pay the attorneys’ fees or costs of any Released Party in connection with such challenge. Notwithstanding the foregoing, unless the release is set aside by a court of law, I understand that this General Release applies to and covers any claim that I may have under the ADEA and OWBPA.</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Except as set forth in this General Release, I understand, acknowledge, and voluntarily agree that this General Release is a total and complete release by me of any and all claims which I have against the Released Parties as of the date I sign this Agreement, both known or unknown, even though there may be facts or consequences of facts which are unknown to me. I hereby acknowledge and agree that I am aware of the provisions of Section 1542 of the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California Civil Code regarding the effectiveness of this General Release on unknown or unsuspected claims and hereby knowingly waive its protection and the protection of any similar law. Section 1542 provides: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w:t>
      </w:r>
    </w:p>
    <w:p>
      <w:pPr>
        <w:spacing w:after="0" w:line="6" w:lineRule="exact"/>
        <w:rPr>
          <w:sz w:val="20"/>
          <w:szCs w:val="20"/>
          <w:color w:val="auto"/>
        </w:rPr>
      </w:pPr>
    </w:p>
    <w:p>
      <w:pPr>
        <w:ind w:left="660" w:right="660"/>
        <w:spacing w:after="0" w:line="226" w:lineRule="auto"/>
        <w:rPr>
          <w:sz w:val="20"/>
          <w:szCs w:val="20"/>
          <w:color w:val="auto"/>
        </w:rPr>
      </w:pPr>
      <w:r>
        <w:rPr>
          <w:rFonts w:ascii="Times New Roman" w:cs="Times New Roman" w:eastAsia="Times New Roman" w:hAnsi="Times New Roman"/>
          <w:sz w:val="18"/>
          <w:szCs w:val="18"/>
          <w:b w:val="1"/>
          <w:bCs w:val="1"/>
          <w:color w:val="auto"/>
        </w:rPr>
        <w:t>favor at the time of executing the release and that, if known by him or her, would have materially affected his or her settlement with the debtor or released party.</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 acknowledge that I am assuming the risk that the facts may turn out to be different from what I believe them to be and agree that this General Release shall be in all respects effective and not subject to termination or rescission because of such mistaken belief.</w:t>
      </w:r>
    </w:p>
    <w:p>
      <w:pPr>
        <w:spacing w:after="0" w:line="17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By signing below, I acknowledge that I have carefully read and fully understand the provisions of this General Release. I further acknowledge that I am signing this General Release knowingly and voluntarily and without duress, coercion or undue influence. This General Release constitutes the total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complete understanding between me and the Released Parties relating to the subject matter covered by this General Release, and all other prior or contemporaneous written or oral agreements or representations, if any, relating to the subject matter covered by this General Release are null and void. Neither the Released Parties nor their respective agents, representatives or attorneys have made any representations to me concerning the terms or effects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General Release other than those contained herein. It is also expressly understood and agreed that the terms of this General Release may not be altered except in a writing signed by both me and Amkor.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32" w:name="page133"/>
    <w:bookmarkEnd w:id="132"/>
    <w:p>
      <w:pPr>
        <w:spacing w:after="0" w:line="224" w:lineRule="auto"/>
        <w:rPr>
          <w:sz w:val="20"/>
          <w:szCs w:val="20"/>
          <w:color w:val="auto"/>
        </w:rPr>
      </w:pPr>
      <w:r>
        <w:rPr>
          <w:rFonts w:ascii="Times New Roman" w:cs="Times New Roman" w:eastAsia="Times New Roman" w:hAnsi="Times New Roman"/>
          <w:sz w:val="18"/>
          <w:szCs w:val="18"/>
          <w:i w:val="1"/>
          <w:iCs w:val="1"/>
          <w:color w:val="auto"/>
        </w:rPr>
        <w:t>I agree and acknowledge that I have carefully read and understand this General Release, including the Section labeled “Notice” on the top of the first page; that I understand, in particular, that I am agreeing to release all legal claims against the Released Parties, including, without limitation, Amkor; that</w:t>
      </w:r>
    </w:p>
    <w:p>
      <w:pPr>
        <w:spacing w:after="0" w:line="226" w:lineRule="auto"/>
        <w:rPr>
          <w:sz w:val="20"/>
          <w:szCs w:val="20"/>
          <w:color w:val="auto"/>
        </w:rPr>
      </w:pPr>
      <w:r>
        <w:rPr>
          <w:rFonts w:ascii="Times New Roman" w:cs="Times New Roman" w:eastAsia="Times New Roman" w:hAnsi="Times New Roman"/>
          <w:sz w:val="18"/>
          <w:szCs w:val="18"/>
          <w:i w:val="1"/>
          <w:iCs w:val="1"/>
          <w:color w:val="auto"/>
        </w:rPr>
        <w:t>I sign this General Release knowingly and voluntarily; that I have been advised to consult with an attorney before signing it; and that this General Release shall not be subject to claims of fraud, duress and/or mistake.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INTENDING TO BE LEGALLY BOUND, I hereby set my hand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ectPr>
          <w:pgSz w:w="11900" w:h="16838" w:orient="portrait"/>
          <w:cols w:equalWidth="0" w:num="1">
            <w:col w:w="11240"/>
          </w:cols>
          <w:pgMar w:left="320" w:top="1402" w:right="3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2" w:lineRule="exact"/>
        <w:rPr>
          <w:sz w:val="20"/>
          <w:szCs w:val="20"/>
          <w:color w:val="auto"/>
        </w:rPr>
      </w:pPr>
    </w:p>
    <w:p>
      <w:pPr>
        <w:sectPr>
          <w:pgSz w:w="11900" w:h="16838" w:orient="portrait"/>
          <w:cols w:equalWidth="0" w:num="2">
            <w:col w:w="2260" w:space="720"/>
            <w:col w:w="8260"/>
          </w:cols>
          <w:pgMar w:left="320" w:top="1402" w:right="339" w:bottom="1440" w:gutter="0" w:footer="0" w:header="0"/>
          <w:type w:val="continuous"/>
        </w:sectPr>
      </w:pPr>
    </w:p>
    <w:p>
      <w:pPr>
        <w:spacing w:after="0" w:line="235" w:lineRule="auto"/>
        <w:rPr>
          <w:sz w:val="20"/>
          <w:szCs w:val="20"/>
          <w:color w:val="auto"/>
        </w:rPr>
      </w:pPr>
      <w:r>
        <w:rPr>
          <w:rFonts w:ascii="Times New Roman" w:cs="Times New Roman" w:eastAsia="Times New Roman" w:hAnsi="Times New Roman"/>
          <w:sz w:val="18"/>
          <w:szCs w:val="18"/>
          <w:color w:val="auto"/>
        </w:rPr>
        <w:t>Farshad Haghighi</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1660" w:space="720"/>
            <w:col w:w="8860"/>
          </w:cols>
          <w:pgMar w:left="320" w:top="1402"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WITNESSED BY:</w:t>
      </w:r>
    </w:p>
    <w:p>
      <w:pPr>
        <w:sectPr>
          <w:pgSz w:w="11900" w:h="16838" w:orient="portrait"/>
          <w:cols w:equalWidth="0" w:num="1">
            <w:col w:w="11240"/>
          </w:cols>
          <w:pgMar w:left="320" w:top="1402"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20" w:lineRule="exact"/>
        <w:rPr>
          <w:sz w:val="20"/>
          <w:szCs w:val="20"/>
          <w:color w:val="auto"/>
        </w:rPr>
      </w:pPr>
    </w:p>
    <w:p>
      <w:pPr>
        <w:sectPr>
          <w:pgSz w:w="11900" w:h="16838" w:orient="portrait"/>
          <w:cols w:equalWidth="0" w:num="2">
            <w:col w:w="2260" w:space="720"/>
            <w:col w:w="8260"/>
          </w:cols>
          <w:pgMar w:left="320" w:top="140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2">
            <w:col w:w="1820" w:space="720"/>
            <w:col w:w="8700"/>
          </w:cols>
          <w:pgMar w:left="320" w:top="1402" w:right="339" w:bottom="1440" w:gutter="0" w:footer="0" w:header="0"/>
          <w:type w:val="continuous"/>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6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THIS EXECUTIVE SEVERANCE AGREEMENT </w:t>
      </w:r>
      <w:r>
        <w:rPr>
          <w:rFonts w:ascii="Times New Roman" w:cs="Times New Roman" w:eastAsia="Times New Roman" w:hAnsi="Times New Roman"/>
          <w:sz w:val="18"/>
          <w:szCs w:val="18"/>
          <w:color w:val="auto"/>
        </w:rPr>
        <w:t>(this “Agreement”) is made and entered into as of the 15th day of November,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by and between Amkor Technology, Inc., a Delaware corporation (the “Company”), and Mark Rogers (the “Executive”).</w:t>
      </w:r>
    </w:p>
    <w:p>
      <w:pPr>
        <w:spacing w:after="0" w:line="16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and the Company desire to enter into this Agreement to provide the Executive with security in the event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terminations and to better enable the Executive to devote Executive’s best efforts to the business of the Company.</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for the foregoing premises, and the mutual covenants, terms and conditions set forth herein,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and intending to be legally bound hereby, the Company and Executive agree as follows:</w:t>
      </w:r>
    </w:p>
    <w:p>
      <w:pPr>
        <w:spacing w:after="0" w:line="14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1.</w:t>
      </w:r>
      <w:r>
        <w:rPr>
          <w:sz w:val="20"/>
          <w:szCs w:val="20"/>
          <w:color w:val="auto"/>
        </w:rPr>
        <w:tab/>
      </w:r>
      <w:r>
        <w:rPr>
          <w:rFonts w:ascii="Times New Roman" w:cs="Times New Roman" w:eastAsia="Times New Roman" w:hAnsi="Times New Roman"/>
          <w:sz w:val="17"/>
          <w:szCs w:val="17"/>
          <w:b w:val="1"/>
          <w:bCs w:val="1"/>
          <w:color w:val="auto"/>
        </w:rPr>
        <w:t>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effective from the Effective Date.</w:t>
      </w:r>
    </w:p>
    <w:p>
      <w:pPr>
        <w:spacing w:after="0" w:line="19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used in this Agreement, the following terms will have the meanings set forth below.</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 xml:space="preserve">Affiliate </w:t>
      </w:r>
      <w:r>
        <w:rPr>
          <w:rFonts w:ascii="Times New Roman" w:cs="Times New Roman" w:eastAsia="Times New Roman" w:hAnsi="Times New Roman"/>
          <w:sz w:val="18"/>
          <w:szCs w:val="18"/>
          <w:color w:val="auto"/>
        </w:rPr>
        <w:t>means a corporation or other entity controlled by, controlling or under common control with the Company, including, without limitation,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any corporation partnership, joint venture or other entity during any period in which at least a fifty percent (50%) voting or profits interest is owned, directly or indirectly, by the Company or any successor to the Company.</w:t>
      </w:r>
    </w:p>
    <w:p>
      <w:pPr>
        <w:spacing w:after="0" w:line="15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means the salary of record paid to an Executive as annual salary, excluding amounts received under incentive or other bonus plans (including, without limitation, the Bonus Plan), whether or not deferred.</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 xml:space="preserve">Board </w:t>
      </w:r>
      <w:r>
        <w:rPr>
          <w:rFonts w:ascii="Times New Roman" w:cs="Times New Roman" w:eastAsia="Times New Roman" w:hAnsi="Times New Roman"/>
          <w:sz w:val="17"/>
          <w:szCs w:val="17"/>
          <w:color w:val="auto"/>
        </w:rPr>
        <w:t>means the Board of Directors of the Company.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 xml:space="preserve">Bonus Plan </w:t>
      </w:r>
      <w:r>
        <w:rPr>
          <w:rFonts w:ascii="Times New Roman" w:cs="Times New Roman" w:eastAsia="Times New Roman" w:hAnsi="Times New Roman"/>
          <w:sz w:val="17"/>
          <w:szCs w:val="17"/>
          <w:color w:val="auto"/>
        </w:rPr>
        <w:t>means the Company’s Amended and Restated Executive Incentive Bonus Plan, or any successor plan thereto.</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if the Executive is party to an employment or similar agreement that contains a definition of “Cause,” the definition set forth in such agreement, and, in every other case, “Cause” means:</w:t>
      </w:r>
    </w:p>
    <w:p>
      <w:pPr>
        <w:spacing w:after="0" w:line="158" w:lineRule="exact"/>
        <w:rPr>
          <w:sz w:val="20"/>
          <w:szCs w:val="20"/>
          <w:color w:val="auto"/>
        </w:rPr>
      </w:pPr>
    </w:p>
    <w:p>
      <w:pPr>
        <w:ind w:left="660" w:right="20" w:firstLine="644"/>
        <w:spacing w:after="0" w:line="250" w:lineRule="auto"/>
        <w:tabs>
          <w:tab w:leader="none" w:pos="19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commission of, or guilty plea or plea of no contest to, a felony (or a crime of similar magnitude under applicable laws outside the United States) or any crime that involves moral turpitude;</w:t>
      </w:r>
    </w:p>
    <w:p>
      <w:pPr>
        <w:spacing w:after="0" w:line="149" w:lineRule="exact"/>
        <w:rPr>
          <w:rFonts w:ascii="Times New Roman" w:cs="Times New Roman" w:eastAsia="Times New Roman" w:hAnsi="Times New Roman"/>
          <w:sz w:val="18"/>
          <w:szCs w:val="18"/>
          <w:color w:val="auto"/>
        </w:rPr>
      </w:pPr>
    </w:p>
    <w:p>
      <w:pPr>
        <w:ind w:left="660" w:firstLine="644"/>
        <w:spacing w:after="0" w:line="237" w:lineRule="auto"/>
        <w:tabs>
          <w:tab w:leader="none" w:pos="19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the Executive that constitutes fraud or embezzlement or any acts of intentional dishonesty in relation to the Executive’s duties to the Company;</w:t>
      </w:r>
    </w:p>
    <w:p>
      <w:pPr>
        <w:spacing w:after="0" w:line="171" w:lineRule="exact"/>
        <w:rPr>
          <w:rFonts w:ascii="Times New Roman" w:cs="Times New Roman" w:eastAsia="Times New Roman" w:hAnsi="Times New Roman"/>
          <w:sz w:val="18"/>
          <w:szCs w:val="18"/>
          <w:color w:val="auto"/>
        </w:rPr>
      </w:pPr>
    </w:p>
    <w:p>
      <w:pPr>
        <w:ind w:left="660" w:firstLine="644"/>
        <w:spacing w:after="0" w:line="237" w:lineRule="auto"/>
        <w:tabs>
          <w:tab w:leader="none" w:pos="19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engaged in gross negligence or intentional misconduct which causes, or in the reasonable judgment of the Committee, is reasonably likely to cause, either reputational or economic harm to the Company or its Affiliates; or</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4" w:lineRule="auto"/>
        <w:tabs>
          <w:tab w:leader="none" w:pos="19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the Executive’s obligations under this Agreement (including, without limitation, Article 4 hereof), any employment or similar agreement or any written Company policy, including any code of conduct, which is not cured, if curable, within ten (10) days after the Committee notifies the Executive of such breach (which notice specifies in reasonable detail the grounds constituting Cause).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 xml:space="preserve">Change in Control </w:t>
      </w:r>
      <w:r>
        <w:rPr>
          <w:rFonts w:ascii="Times New Roman" w:cs="Times New Roman" w:eastAsia="Times New Roman" w:hAnsi="Times New Roman"/>
          <w:sz w:val="17"/>
          <w:szCs w:val="17"/>
          <w:color w:val="auto"/>
        </w:rPr>
        <w:t>has the meaning set forth in the Equity Incentive Plan.</w:t>
      </w:r>
    </w:p>
    <w:p>
      <w:pPr>
        <w:sectPr>
          <w:pgSz w:w="11900" w:h="16838" w:orient="portrait"/>
          <w:cols w:equalWidth="0" w:num="1">
            <w:col w:w="11240"/>
          </w:cols>
          <w:pgMar w:left="320" w:top="1400" w:right="339" w:bottom="1440" w:gutter="0" w:footer="0" w:header="0"/>
        </w:sectPr>
      </w:pPr>
    </w:p>
    <w:bookmarkStart w:id="134" w:name="page135"/>
    <w:bookmarkEnd w:id="13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u w:val="single" w:color="auto"/>
          <w:color w:val="auto"/>
        </w:rPr>
        <w:t xml:space="preserve">COBRA </w:t>
      </w:r>
      <w:r>
        <w:rPr>
          <w:rFonts w:ascii="Times New Roman" w:cs="Times New Roman" w:eastAsia="Times New Roman" w:hAnsi="Times New Roman"/>
          <w:sz w:val="17"/>
          <w:szCs w:val="17"/>
          <w:color w:val="auto"/>
        </w:rPr>
        <w:t>means the Consolidated Omnibus Budget Reconciliation Act of 1986, as amended from time to time.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u w:val="single" w:color="auto"/>
          <w:color w:val="auto"/>
        </w:rPr>
        <w:t xml:space="preserve">Code </w:t>
      </w:r>
      <w:r>
        <w:rPr>
          <w:rFonts w:ascii="Times New Roman" w:cs="Times New Roman" w:eastAsia="Times New Roman" w:hAnsi="Times New Roman"/>
          <w:sz w:val="17"/>
          <w:szCs w:val="17"/>
          <w:color w:val="auto"/>
        </w:rPr>
        <w:t>means the Internal Revenue Code of 1986, as amended from time to time.</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Compensation Committee of the Board or any other committee of the Board appointed to perform the functions of the Compensation Committee.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u w:val="single" w:color="auto"/>
          <w:color w:val="auto"/>
        </w:rPr>
        <w:t xml:space="preserve">Company </w:t>
      </w:r>
      <w:r>
        <w:rPr>
          <w:rFonts w:ascii="Times New Roman" w:cs="Times New Roman" w:eastAsia="Times New Roman" w:hAnsi="Times New Roman"/>
          <w:sz w:val="17"/>
          <w:szCs w:val="17"/>
          <w:color w:val="auto"/>
        </w:rPr>
        <w:t>means Amkor Technology, Inc., a Delaware corporation, or any successor thereto as provided in Article 10 herein.</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if the Executive is party to an employment agreement that contains a definition of “Disability,” the definition set forth in such agreement, and, in every other case, “Disability” means the inability of the Executive to engage in any substantial gainful activity by reason of any medically determinable physical or mental impairment which can be expected to result in death or that has lasted or can be expected to last for a continuous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period of not less than twelve (12) months, as provided in Section 22(e)(3) and 409A(A)(2)(C)(i) of the Code, and will be determined by the Committee on the basis of such medical evidence as the Committee deemed warranted under the circumstances.</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means, as applicable, the Amkor Technology, Inc. Second Amended and Restated 2007 Equity Incentive Plan, the Amkor Technology, Inc. 2021 Equity Incentive Plan, or any successor plan thereto, in each case, as amended, restated and/or supplemented from time to time.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 xml:space="preserve">Exchange Act </w:t>
      </w:r>
      <w:r>
        <w:rPr>
          <w:rFonts w:ascii="Times New Roman" w:cs="Times New Roman" w:eastAsia="Times New Roman" w:hAnsi="Times New Roman"/>
          <w:sz w:val="17"/>
          <w:szCs w:val="17"/>
          <w:color w:val="auto"/>
        </w:rPr>
        <w:t>means the Securities Exchange Act of 1934, as amended from time to time, and any successor thereto.</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 xml:space="preserve">Global Mobility Policy </w:t>
      </w:r>
      <w:r>
        <w:rPr>
          <w:rFonts w:ascii="Times New Roman" w:cs="Times New Roman" w:eastAsia="Times New Roman" w:hAnsi="Times New Roman"/>
          <w:sz w:val="17"/>
          <w:szCs w:val="17"/>
          <w:color w:val="auto"/>
        </w:rPr>
        <w:t>means the Company’s Global Mobility Policy and Procedure, as in effect from time to time.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reduction in the Executive’s authority, duties or responsibilities; (ii) a material reduction in the Executive’s Base Salary or target bonus opportunity under the Bonus Plan (in each case, other than a reduction that is imposed proportionately on substantially all executive officers); or (iii) a relocation of the Executive’s principal place of employment, without the Executive’s express written approval, to a location more than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fifty (50) miles from the location at which the Executive performs the Executive’s duties as of the Effective Date. No termination of employment by the Executive shall be treated as being for Good Reason unless the Executive provides a Notice of Termination pursuant to Section 3.5 within sixty (60) days after the time that the facts or circumstances constituting Good Reason initially arise and provides the Company a cure period of thirty (30) days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receipt of such notice, there is no cure and such resignation is effective prior to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end of such cure period.</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means a written notice which indicates the specific termination provision in this Agreement relied upon and sets forth in reasonable detail the facts and circumstances claimed to provide a basis for termination of the Executive’s employment under the provision so indicated.</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has the meaning ascribed to such term in Section 3(a)(9) of the Exchange Act and used in Sections 13(d) and 14(d) thereof, including a “group” as provided in Section 13(d).</w:t>
      </w:r>
    </w:p>
    <w:p>
      <w:pPr>
        <w:spacing w:after="0" w:line="1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 xml:space="preserve">Qualifying CIC Termination </w:t>
      </w:r>
      <w:r>
        <w:rPr>
          <w:rFonts w:ascii="Times New Roman" w:cs="Times New Roman" w:eastAsia="Times New Roman" w:hAnsi="Times New Roman"/>
          <w:sz w:val="17"/>
          <w:szCs w:val="17"/>
          <w:color w:val="auto"/>
        </w:rPr>
        <w:t>shall occur if, during the period beginning on the ninetieth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day prior to the date that a Change in Control occurs</w:t>
      </w:r>
    </w:p>
    <w:p>
      <w:pPr>
        <w:jc w:val="both"/>
        <w:spacing w:after="0" w:line="204" w:lineRule="auto"/>
        <w:rPr>
          <w:sz w:val="20"/>
          <w:szCs w:val="20"/>
          <w:color w:val="auto"/>
        </w:rPr>
      </w:pPr>
      <w:r>
        <w:rPr>
          <w:rFonts w:ascii="Times New Roman" w:cs="Times New Roman" w:eastAsia="Times New Roman" w:hAnsi="Times New Roman"/>
          <w:sz w:val="18"/>
          <w:szCs w:val="18"/>
          <w:color w:val="auto"/>
        </w:rPr>
        <w:t>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(i) by the Company for reasons other than Cause, Disability or death or (ii) by the Executive for Good Reason.</w:t>
      </w:r>
    </w:p>
    <w:p>
      <w:pPr>
        <w:spacing w:after="0" w:line="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 xml:space="preserve">Qualifying Non-CIC Termination </w:t>
      </w:r>
      <w:r>
        <w:rPr>
          <w:rFonts w:ascii="Times New Roman" w:cs="Times New Roman" w:eastAsia="Times New Roman" w:hAnsi="Times New Roman"/>
          <w:sz w:val="18"/>
          <w:szCs w:val="18"/>
          <w:color w:val="auto"/>
        </w:rPr>
        <w:t>shall occur if, any time other than during the period beginning on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the date that a</w:t>
      </w:r>
    </w:p>
    <w:p>
      <w:pPr>
        <w:jc w:val="both"/>
        <w:ind w:right="20"/>
        <w:spacing w:after="0" w:line="204" w:lineRule="auto"/>
        <w:rPr>
          <w:sz w:val="20"/>
          <w:szCs w:val="20"/>
          <w:color w:val="auto"/>
        </w:rPr>
      </w:pPr>
      <w:r>
        <w:rPr>
          <w:rFonts w:ascii="Times New Roman" w:cs="Times New Roman" w:eastAsia="Times New Roman" w:hAnsi="Times New Roman"/>
          <w:sz w:val="18"/>
          <w:szCs w:val="18"/>
          <w:color w:val="auto"/>
        </w:rPr>
        <w:t>Change in Control occurs 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by the Company for reasons other than Cause, Disability or death.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u w:val="single" w:color="auto"/>
          <w:color w:val="auto"/>
        </w:rPr>
        <w:t xml:space="preserve">Separation from Service </w:t>
      </w:r>
      <w:r>
        <w:rPr>
          <w:rFonts w:ascii="Times New Roman" w:cs="Times New Roman" w:eastAsia="Times New Roman" w:hAnsi="Times New Roman"/>
          <w:sz w:val="18"/>
          <w:szCs w:val="18"/>
          <w:color w:val="auto"/>
        </w:rPr>
        <w:t>means the Executive’s termination of employment with the Company, its Affiliates and with each member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controlled group (within the meaning of Sections 414(b) or (c) of the Code) of which the Company is a member. An Executive will not be treated as having a Separation from Service during any period the Executive’s employment relationship continues, such as a result of a leave of absence, and whether a Separation from Service has occurred shall be determined by the Committee (on a basis consistent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35" w:name="page136"/>
    <w:bookmarkEnd w:id="135"/>
    <w:p>
      <w:pPr>
        <w:jc w:val="both"/>
        <w:spacing w:after="0" w:line="222" w:lineRule="auto"/>
        <w:rPr>
          <w:sz w:val="20"/>
          <w:szCs w:val="20"/>
          <w:color w:val="auto"/>
        </w:rPr>
      </w:pPr>
      <w:r>
        <w:rPr>
          <w:rFonts w:ascii="Times New Roman" w:cs="Times New Roman" w:eastAsia="Times New Roman" w:hAnsi="Times New Roman"/>
          <w:sz w:val="18"/>
          <w:szCs w:val="18"/>
          <w:color w:val="auto"/>
        </w:rPr>
        <w:t>regulations under Section 409A of the Code) after consideration of all the facts and circumstances, including whether either no further services are to be performed or there is a reasonably anticipated permanent and substantial decrease (e.g., 80% or more) in the level of services to be performed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amount of compensation to be received for such services) below the level of services previously performed (and compensation previously received).</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auto"/>
        </w:rPr>
        <w:t xml:space="preserve">Severance Benefits </w:t>
      </w:r>
      <w:r>
        <w:rPr>
          <w:rFonts w:ascii="Times New Roman" w:cs="Times New Roman" w:eastAsia="Times New Roman" w:hAnsi="Times New Roman"/>
          <w:sz w:val="17"/>
          <w:szCs w:val="17"/>
          <w:color w:val="auto"/>
        </w:rPr>
        <w:t>means the payment of severance compensation as provided in Section 3.1 or 3.2 herein.</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8"/>
          <w:szCs w:val="18"/>
          <w:b w:val="1"/>
          <w:bCs w:val="1"/>
          <w:color w:val="auto"/>
        </w:rPr>
        <w:t>Severance Benefits</w:t>
      </w:r>
    </w:p>
    <w:p>
      <w:pPr>
        <w:spacing w:after="0" w:line="202"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Severance Benefits in Connection with a Change in Control</w:t>
      </w:r>
      <w:r>
        <w:rPr>
          <w:rFonts w:ascii="Times New Roman" w:cs="Times New Roman" w:eastAsia="Times New Roman" w:hAnsi="Times New Roman"/>
          <w:sz w:val="18"/>
          <w:szCs w:val="18"/>
          <w:color w:val="auto"/>
        </w:rPr>
        <w:t xml:space="preserve">. If a Qualifying CIC Termination of the Executive occurs, and provided that the Executive executes and does not revoke the release of claims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w:t>
      </w:r>
    </w:p>
    <w:p>
      <w:pPr>
        <w:spacing w:after="0"/>
        <w:rPr>
          <w:sz w:val="20"/>
          <w:szCs w:val="20"/>
          <w:color w:val="auto"/>
        </w:rPr>
      </w:pPr>
      <w:r>
        <w:rPr>
          <w:rFonts w:ascii="Times New Roman" w:cs="Times New Roman" w:eastAsia="Times New Roman" w:hAnsi="Times New Roman"/>
          <w:sz w:val="18"/>
          <w:szCs w:val="18"/>
          <w:color w:val="auto"/>
        </w:rPr>
        <w:t>following payments and benefits:</w:t>
      </w:r>
    </w:p>
    <w:p>
      <w:pPr>
        <w:spacing w:after="0" w:line="165" w:lineRule="exact"/>
        <w:rPr>
          <w:sz w:val="20"/>
          <w:szCs w:val="20"/>
          <w:color w:val="auto"/>
        </w:rPr>
      </w:pPr>
    </w:p>
    <w:p>
      <w:pPr>
        <w:jc w:val="both"/>
        <w:ind w:left="660" w:firstLine="644"/>
        <w:spacing w:after="0" w:line="231" w:lineRule="auto"/>
        <w:tabs>
          <w:tab w:leader="none" w:pos="19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one and one-half (1.5) times the sum of (i) the Executive’s Base Salary immediately prior to the Qualifying CIC Termination and (ii)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the amount of premiums that the Executive and his or her eligible dependents would be required to pay for continued coverage under the Company’s group health plans pursuant to COBRA for 18 months,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the Change in Control shall become 100% vested as of the later of the date of the Qualifying CIC Termination and the Change in Control (but immediately prior to the consummation thereof), and any such equity award that is a stock option shall remain exercisable until the earlier of (i) twenty-four (24) months following the date of such Qualifying CIC Termination, or (ii) the original expiration date of such award (subject to the treatment of such equity award in connection with such Change in Control); and</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the Change in Control shall remain subject to the provisions of the applicable award agreement and the Equity Incentive Plan.</w:t>
      </w:r>
    </w:p>
    <w:p>
      <w:pPr>
        <w:spacing w:after="0" w:line="17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Severance Benefits Not in Connection with a Change in Control</w:t>
      </w:r>
      <w:r>
        <w:rPr>
          <w:rFonts w:ascii="Times New Roman" w:cs="Times New Roman" w:eastAsia="Times New Roman" w:hAnsi="Times New Roman"/>
          <w:sz w:val="18"/>
          <w:szCs w:val="18"/>
          <w:color w:val="auto"/>
        </w:rPr>
        <w:t>. If a Qualifying Non-CIC Termination of the Executive occurs, and provided that the Executive executes and does not revoke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 following payments and benefits:</w:t>
      </w:r>
    </w:p>
    <w:p>
      <w:pPr>
        <w:spacing w:after="0" w:line="171" w:lineRule="exact"/>
        <w:rPr>
          <w:sz w:val="20"/>
          <w:szCs w:val="20"/>
          <w:color w:val="auto"/>
        </w:rPr>
      </w:pPr>
    </w:p>
    <w:p>
      <w:pPr>
        <w:jc w:val="both"/>
        <w:ind w:left="660" w:firstLine="644"/>
        <w:spacing w:after="0" w:line="224" w:lineRule="auto"/>
        <w:tabs>
          <w:tab w:leader="none" w:pos="19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(1) times the sum of (i) the Executive’s Base Salary immediately prior to the Qualifying Non-CIC Termination and (ii) the Executive’s target bonus amount under the Bonus Plan for the year of termination, payable in substantially equal bi-weekly installments for a period of twelve (12) months, beginning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actual bonus under the Bonus Plan for the year of termination, if any, the Executive would have been paid for such year absent such termination, but determined without respect to any discretionary component and the non-discretionary components shall be reweighted proportionally, payable on the latest of (i) the date on which the Company pays bonuses for such year generally, (ii) the date on which the Release becomes effective, and (iii)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9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premiums that the Executive and the Executive’s eligible dependents would be required to pay for continued coverage under the Company’s group health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36" w:name="page137"/>
    <w:bookmarkEnd w:id="136"/>
    <w:p>
      <w:pPr>
        <w:ind w:left="660"/>
        <w:spacing w:after="0" w:line="237" w:lineRule="auto"/>
        <w:rPr>
          <w:sz w:val="20"/>
          <w:szCs w:val="20"/>
          <w:color w:val="auto"/>
        </w:rPr>
      </w:pPr>
      <w:r>
        <w:rPr>
          <w:rFonts w:ascii="Times New Roman" w:cs="Times New Roman" w:eastAsia="Times New Roman" w:hAnsi="Times New Roman"/>
          <w:sz w:val="18"/>
          <w:szCs w:val="18"/>
          <w:color w:val="auto"/>
        </w:rPr>
        <w:t>pursuant to COBRA for twelve (12) months, payable in substantially equal bi-weekly installments for a period of twelve (12) months, beginning on the first payroll date after the Release becomes effective or such later date as may be required to comply with Section 409A of the Code; and</w:t>
      </w:r>
    </w:p>
    <w:p>
      <w:pPr>
        <w:spacing w:after="0" w:line="172" w:lineRule="exact"/>
        <w:rPr>
          <w:sz w:val="20"/>
          <w:szCs w:val="20"/>
          <w:color w:val="auto"/>
        </w:rPr>
      </w:pPr>
    </w:p>
    <w:p>
      <w:pPr>
        <w:jc w:val="both"/>
        <w:ind w:left="660" w:right="20" w:firstLine="644"/>
        <w:spacing w:after="0" w:line="226" w:lineRule="auto"/>
        <w:tabs>
          <w:tab w:leader="none" w:pos="19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such Qualifying Non-CIC Termination shall remain subject to the provisions of the applicable award agreement and the Equity Incentive Plan; and</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5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such Qualifying Non-CIC Termination shall remain subject to the provisions of the applicable award agreement and the Equity Incentive Plan.</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Other Terminations of Employment</w:t>
      </w:r>
      <w:r>
        <w:rPr>
          <w:rFonts w:ascii="Times New Roman" w:cs="Times New Roman" w:eastAsia="Times New Roman" w:hAnsi="Times New Roman"/>
          <w:sz w:val="18"/>
          <w:szCs w:val="18"/>
          <w:color w:val="auto"/>
        </w:rPr>
        <w:t>. For the avoidance of doubt, if, at any time, the Executive’s employment is terminated and such termination of employment is not a Qualifying CIC Termination or a Qualifying Non-CIC Termination, the Executive will not be entitled to the Severance Benefits described in Section 3.1 or 3.2.</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With respect to any Separation from Service, the Company will pay the Executive an amount equal to: (i) unpaid Base Salary earned prior to the date of the Executive’s Separation from Service; (ii) unused vacation time accrued prior to the date of the Executive’s Separation from Service; and (iii) vested benefits earned under any employee benefit plan or program, in accordance with the terms and conditions thereof.</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employment by the Company or by the Executive for Good Reason will be communicated by a Notice of Termination.</w:t>
      </w:r>
    </w:p>
    <w:p>
      <w:pPr>
        <w:spacing w:after="0" w:line="15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8"/>
          <w:szCs w:val="18"/>
          <w:b w:val="1"/>
          <w:bCs w:val="1"/>
          <w:color w:val="auto"/>
        </w:rPr>
        <w:t>Return of Property; Restrictive Covenants; Cooperation</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On or before the Executive’s Separation from Service, the Executive shall return to the Company all files, memoranda, documents, records, copies of the foregoing, Company-provided credit cards, keys, building passes, security passes, access or identification cards, and any other Company property in the Executive’s possession or control. To the extent the Executive subsequently discovers that any property or data identified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above is still in the Executive’s possession, custody or control after the Executive’s Separation from Service, the Executive shall return all such property and data to the Company as soon as practicable, but in no event later than ten (10) days after making such discovery. On or before the Executive’s Separation from Service, the Executive shall clear all expense accounts, repay everything the Executive owes to the Company or any Affiliate thereof, pay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amounts the Executive owes on Company-provided credit cards or accounts (such as cell phone accounts), and cancel or personally assume any such credit cards or accounts. On and after the Executive’s Separation from Service, the Executive shall not incur any expenses, obligations, or liabilities on behalf of the Company or any of its Affiliates.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Beginning on the date hereof and continuing for twelve (12) months following the Executive’s Separation from Service (the “Restriction Period”), the Executive shall not, without the express prior written consent of the Committee, engage in or carry on, directly or indirectly, whether as an advisor, principal, agent, partner, officer, director, employee, stockholder, associate or consultant to any Person, or any other business entity,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business of outsourced semiconductor packaging or test services anywhere in the United States or any other country in which the Company conducts business; provided that ownership by the Executive of Company securities or of less than a five percent (5%) publicly traded equity interest in a public company shall not be a breach of this Section 4.2.</w:t>
      </w:r>
    </w:p>
    <w:p>
      <w:pPr>
        <w:spacing w:after="0" w:line="17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Restriction Period, the Executive shall not, without the express prior written consent of the Board, directly or indirectly, for the Executive or on behalf of any other Person or any other business entity, (i) solicit or encourage any customer, vendor, client or prospective customer, vendor or client (or anyone who was a customer, vendor or client during the Restriction Period) to cease any relationship with the Company or any of its Affiliates or (ii) solicit or encourage any employee or consultant of the Company or any of its Affiliates (or anyone who was an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employee or consultant of the Company or any of its Affiliates during the Restriction Period) to leave the employment of or cease to perform services for the Company or any of its Affiliates; provided that this Section 4.3 shall not prohibit any general public advertisement or general solicitation for personnel not specifically directed at any employee or consultant of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37" w:name="page138"/>
    <w:bookmarkEnd w:id="137"/>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Beginning on the date hereof and at all times hereafter, the Executive shall not make any public statement that is in any way disparaging, derogatory or defamatory regarding the Company, any of its Affiliates or any of their respective officers, directors, employees, consultants,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reputations, products, operations, procedures, policies or services, which is reasonably likely to (i) damage materially the reputation of the Company or any of its Affiliates or (ii) interfere materially with the contracts or business relationships of the Company or any of its Affiliates. “Public statements” mean any statement, whether written or oral, made in any public forum, including in any social media or website. However, nothing in this Section 4.4 shall prohibit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Executive from testifying truthfully in any forum or contacting, cooperating with or providing truthful information to any government agency or commission.</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Executive’s Separation from Service, the Executive shall provide reasonable assistance to and cooperate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and its Affiliates as to any claims, controversies, disputes, or complaints of which the Executive has knowledge or that may relate to the Executive or the Executive’s employment or other relationships with the Company or any of its Affiliates. Such cooperation includes but is not limited to providing the Company and its Affiliates with all information known to the Executive related to the foregoing, meeting with counsel, and appearing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giving testimony in any forum. The Company will reimburse the Executive for any reasonable out-of-pocket expenses incurred by the Executive in providing assistance under this Section 4.5.</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7"/>
          <w:szCs w:val="17"/>
          <w:b w:val="1"/>
          <w:bCs w:val="1"/>
          <w:color w:val="auto"/>
        </w:rPr>
        <w:t>Excise Tax Under Section 4999 of the Code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Excess Parachute Payments</w:t>
      </w:r>
      <w:r>
        <w:rPr>
          <w:rFonts w:ascii="Times New Roman" w:cs="Times New Roman" w:eastAsia="Times New Roman" w:hAnsi="Times New Roman"/>
          <w:sz w:val="18"/>
          <w:szCs w:val="18"/>
          <w:color w:val="auto"/>
        </w:rPr>
        <w:t>. Notwithstanding any provision of this Agreement to the contrary, if any payment or benefit the Executive would receive pursuant to this Agreement or otherwise (collectively, the “Payments”) would constitute a “parachute payment” within the meaning of Section 280G of the Code, and, but for this Section 5.1, would be subject to the excise tax imposed by Section 4999 of the Code or any similar or successor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 (the “Excise Tax”),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maximum reduction in federal income taxes which could be obtained from a deduction of such state and local taxes), results in the Executive’s receipt, on an after-tax basis, of the greatest amount of the Payments. Any reduction in the Payments required by this Section 5.1 will be made in the following order:</w:t>
      </w:r>
    </w:p>
    <w:p>
      <w:pPr>
        <w:spacing w:after="0" w:line="1" w:lineRule="exact"/>
        <w:rPr>
          <w:sz w:val="20"/>
          <w:szCs w:val="20"/>
          <w:color w:val="auto"/>
        </w:rPr>
      </w:pPr>
    </w:p>
    <w:p>
      <w:pPr>
        <w:jc w:val="both"/>
        <w:ind w:firstLine="8"/>
        <w:spacing w:after="0" w:line="218" w:lineRule="auto"/>
        <w:tabs>
          <w:tab w:leader="none" w:pos="2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cash payments; (ii) reduction of accelerated vesting of equity awards other than stock options; (iii) reduction of accelerated vesting of stock options; and (iv) reduction of other benefits paid or provided to the Executive. If acceleration of vesting of equity awards is to be reduced, such acceleration of vesting will be cancelled in the reverse order of the date of grant of the Executive’s equity awards. If two or more equity awards are granted on the same date, the accelerated vesting of each award will be reduced on a pro-rata basis.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Determination by Accounting Firm</w:t>
      </w:r>
      <w:r>
        <w:rPr>
          <w:rFonts w:ascii="Times New Roman" w:cs="Times New Roman" w:eastAsia="Times New Roman" w:hAnsi="Times New Roman"/>
          <w:sz w:val="18"/>
          <w:szCs w:val="18"/>
          <w:color w:val="auto"/>
        </w:rPr>
        <w:t>. The professional accounting firm engaged by the Company for general tax purposes as of the day prior to the date of the event that might reasonably be anticipated to result in Payments that would otherwise be subject to the Excise Tax will perform the foregoing calculations. If the firm so engaged by the Company is serving as accountant or auditor for the acquiring company, the Company will appoint a nationally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recognized accounting firm to make the determinations required by Section 5.1. The Company will bear all expenses with respect to the determinations by such firm required to be made by Section 5.1. The Company and the Executive shall furnish such firm such information and documents as the firm may reasonably request to make its required determination. The firm will provide its calculations, together with detailed supporting documentation,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and the Executive as soon as practicable following its engagement. Any good faith determinations of the firm made hereunder will be final, binding and conclusive upon the Company and the Executive.</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The Company will be entitled to withhold from any amounts payable under this Agreement all taxes as it may believe are reasonably required to be withheld (including, without limitation, any United States federal taxes and any other state, city, local or foreign taxes).</w:t>
      </w:r>
    </w:p>
    <w:p>
      <w:pPr>
        <w:spacing w:after="0" w:line="14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Mandatory Deferral Rule</w:t>
      </w:r>
      <w:r>
        <w:rPr>
          <w:rFonts w:ascii="Times New Roman" w:cs="Times New Roman" w:eastAsia="Times New Roman" w:hAnsi="Times New Roman"/>
          <w:sz w:val="18"/>
          <w:szCs w:val="18"/>
          <w:color w:val="auto"/>
        </w:rPr>
        <w:t>. Notwithstanding any other provision of this Agreement to the contrary, any payment that constitutes the deferral of compensation (within the meaning of Treasury Regulation Section 1.409A-1(b)) that is otherwise required to be made to the Executive prior to the day after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date that is six (6) months from the Executive’s Separation from Service shall be accumulated, deferred and paid in a lump sum to the Executive (with interest on the amount deferred from the Executive’s Separation from Service until the day prior to the actual payment at the federal short-term rate on the date of the Executive’s Separation from Service) on the day after the date that is six (6) months from the date of the Executive’s Separation from Service;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38" w:name="page139"/>
    <w:bookmarkEnd w:id="138"/>
    <w:p>
      <w:pPr>
        <w:jc w:val="both"/>
        <w:spacing w:after="0" w:line="237" w:lineRule="auto"/>
        <w:rPr>
          <w:sz w:val="20"/>
          <w:szCs w:val="20"/>
          <w:color w:val="auto"/>
        </w:rPr>
      </w:pPr>
      <w:r>
        <w:rPr>
          <w:rFonts w:ascii="Times New Roman" w:cs="Times New Roman" w:eastAsia="Times New Roman" w:hAnsi="Times New Roman"/>
          <w:sz w:val="18"/>
          <w:szCs w:val="18"/>
          <w:color w:val="auto"/>
        </w:rPr>
        <w:t>Executive dies prior to the expiration of such six (6)-month period, payment to the Executive’s estate shall be made as soon as practicable following the Executive’s death.</w:t>
      </w:r>
    </w:p>
    <w:p>
      <w:pPr>
        <w:spacing w:after="0" w:line="16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8"/>
          <w:szCs w:val="18"/>
          <w:b w:val="1"/>
          <w:bCs w:val="1"/>
          <w:color w:val="auto"/>
        </w:rPr>
        <w:t>No Mitigation</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Executive will not be obligated to seek other employment in mitigation of the amounts payable made under any provision of this Agreement, and the obtaining of any such other employment will in no event effect any reduction of the Company’s obligations to make the payments required to be made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this Agreement. Notwithstanding anything in this Agreement to the contrary, if the Severance Benefits are paid under this Agreement, no severance benefits under any program of the Company, other than benefits described in this Agreement, will be paid to the Executive.</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8"/>
          <w:szCs w:val="18"/>
          <w:b w:val="1"/>
          <w:bCs w:val="1"/>
          <w:color w:val="auto"/>
        </w:rPr>
        <w:t>Relocation</w:t>
      </w:r>
    </w:p>
    <w:p>
      <w:pPr>
        <w:spacing w:after="0" w:line="20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If the Executive is on an expatriate assignment under the Global Mobility Policy and a Qualifying CIC Termination or a Qualifying Non-CIC Termination occurs, then, notwithstanding anything in the Global Mobility Policy to the contrary, the Executive will be eligible for relocation benefits back to the Executive’s home country consistent with those provided under the Global Mobility Policy.</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8"/>
          <w:szCs w:val="18"/>
          <w:b w:val="1"/>
          <w:bCs w:val="1"/>
          <w:color w:val="auto"/>
        </w:rPr>
        <w:t>Outplacement Assistance</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Following a Qualifying CIC Termination or a Qualifying Non-CIC Termination, the Executive will be reimbursed by the Company for the reasonable costs of outplacement services obtained by the Executive within the six (6)-month period after the Executive’s Separation from Service, upon receipt by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of documentation evidencing the actual cost of such services; provided, however, that reimbursements must be made by the end of the year following the year in which the Separation from Service occurs.</w:t>
      </w:r>
    </w:p>
    <w:p>
      <w:pPr>
        <w:spacing w:after="0" w:line="15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7"/>
          <w:szCs w:val="17"/>
          <w:b w:val="1"/>
          <w:bCs w:val="1"/>
          <w:color w:val="auto"/>
        </w:rPr>
        <w:t>Successors and Assignment</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Successors to the Company</w:t>
      </w:r>
      <w:r>
        <w:rPr>
          <w:rFonts w:ascii="Times New Roman" w:cs="Times New Roman" w:eastAsia="Times New Roman" w:hAnsi="Times New Roman"/>
          <w:sz w:val="18"/>
          <w:szCs w:val="18"/>
          <w:color w:val="auto"/>
        </w:rPr>
        <w:t>. The Company will require any successor (whether direct or indirect, by purchase, merger, consolidation, or otherwise) of all or substantially all of the business and/or assets of the Company to expressly assume and agree to perform the Company’s obligations under this Agreement in the same manner and to the same extent that the Company would be required to perform them if no such succession had taken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Assignment by the Executive</w:t>
      </w:r>
      <w:r>
        <w:rPr>
          <w:rFonts w:ascii="Times New Roman" w:cs="Times New Roman" w:eastAsia="Times New Roman" w:hAnsi="Times New Roman"/>
          <w:sz w:val="18"/>
          <w:szCs w:val="18"/>
          <w:color w:val="auto"/>
        </w:rPr>
        <w:t>. This Agreement will inure to the benefit of and be enforceable by the Executive’s personal or legal representatives, executors, administrators, successors, heirs, distributees, devisees, and legatees. If the Executive dies while any amount would still be payable to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Executive hereunder had the Executive survived, all such amounts, unless otherwise provided herein, will be paid to the Executive’s estate at the same time or times that such amounts would have been paid to the Executive hereunder had the Executive survived.</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Employment Status</w:t>
      </w:r>
      <w:r>
        <w:rPr>
          <w:rFonts w:ascii="Times New Roman" w:cs="Times New Roman" w:eastAsia="Times New Roman" w:hAnsi="Times New Roman"/>
          <w:sz w:val="18"/>
          <w:szCs w:val="18"/>
          <w:color w:val="auto"/>
        </w:rPr>
        <w:t>. 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illegal or invalid for any reason, the illegality or invalidity will not affect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remaining parts of this Agreement, and this Agreement will be construed and enforced as if the illegal or invalid provision had not been included. Further, the captions of this Agreement are not part of the provisions hereof and will have no force and effect.</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1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Applicable Law and Venue</w:t>
      </w:r>
      <w:r>
        <w:rPr>
          <w:rFonts w:ascii="Times New Roman" w:cs="Times New Roman" w:eastAsia="Times New Roman" w:hAnsi="Times New Roman"/>
          <w:sz w:val="18"/>
          <w:szCs w:val="18"/>
          <w:color w:val="auto"/>
        </w:rPr>
        <w:t>. To the extent not preempted by the laws of the United States, the laws of the State of Arizona will be the controlling law in all matters relating to this Agreement, without regard to the conflicts of law principles of any jurisdiction. The Executive and the Company agree that any action to enforce or interpret this Agreement shall be brought exclusively in a federal or state court of competent jurisdiction in Maricopa County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State of Arizona, and the Executive and the Company hereby waive any challenge to venue or exercise of jurisdiction of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Effective Date.</w:t>
      </w:r>
    </w:p>
    <w:p>
      <w:pPr>
        <w:spacing w:after="0" w:line="200"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Amkor Technology, Inc.</w:t>
        <w:tab/>
        <w:t>Executive:</w:t>
      </w:r>
    </w:p>
    <w:p>
      <w:pPr>
        <w:sectPr>
          <w:pgSz w:w="11900" w:h="16838" w:orient="portrait"/>
          <w:cols w:equalWidth="0" w:num="1">
            <w:col w:w="10139"/>
          </w:cols>
          <w:pgMar w:left="320" w:top="1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Giel Rutten</w:t>
      </w:r>
    </w:p>
    <w:p>
      <w:pPr>
        <w:ind w:left="180"/>
        <w:spacing w:after="0" w:line="203" w:lineRule="auto"/>
        <w:rPr>
          <w:sz w:val="20"/>
          <w:szCs w:val="20"/>
          <w:color w:val="auto"/>
        </w:rPr>
      </w:pPr>
      <w:r>
        <w:rPr>
          <w:rFonts w:ascii="Times New Roman" w:cs="Times New Roman" w:eastAsia="Times New Roman" w:hAnsi="Times New Roman"/>
          <w:sz w:val="18"/>
          <w:szCs w:val="18"/>
          <w:color w:val="auto"/>
        </w:rPr>
        <w:t>Giel Rutten</w:t>
      </w:r>
    </w:p>
    <w:p>
      <w:pPr>
        <w:ind w:left="540"/>
        <w:spacing w:after="0"/>
        <w:rPr>
          <w:sz w:val="20"/>
          <w:szCs w:val="20"/>
          <w:color w:val="auto"/>
        </w:rPr>
      </w:pPr>
      <w:r>
        <w:rPr>
          <w:rFonts w:ascii="Times New Roman" w:cs="Times New Roman" w:eastAsia="Times New Roman" w:hAnsi="Times New Roman"/>
          <w:sz w:val="18"/>
          <w:szCs w:val="18"/>
          <w:color w:val="auto"/>
        </w:rPr>
        <w:t>Date: 11-15-2022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Mark N. Rogers</w:t>
      </w:r>
    </w:p>
    <w:p>
      <w:pPr>
        <w:spacing w:after="0" w:line="383" w:lineRule="exact"/>
        <w:rPr>
          <w:sz w:val="20"/>
          <w:szCs w:val="20"/>
          <w:color w:val="auto"/>
        </w:rPr>
      </w:pPr>
    </w:p>
    <w:p>
      <w:pPr>
        <w:sectPr>
          <w:pgSz w:w="11900" w:h="16838" w:orient="portrait"/>
          <w:cols w:equalWidth="0" w:num="2">
            <w:col w:w="1820" w:space="40"/>
            <w:col w:w="8279"/>
          </w:cols>
          <w:pgMar w:left="320" w:top="1400" w:right="1440" w:bottom="1440" w:gutter="0" w:footer="0" w:header="0"/>
          <w:type w:val="continuous"/>
        </w:sectPr>
      </w:pPr>
    </w:p>
    <w:p>
      <w:pPr>
        <w:spacing w:after="0" w:line="227" w:lineRule="auto"/>
        <w:tabs>
          <w:tab w:leader="none" w:pos="400" w:val="left"/>
        </w:tabs>
        <w:rPr>
          <w:sz w:val="20"/>
          <w:szCs w:val="20"/>
          <w:color w:val="auto"/>
        </w:rPr>
      </w:pPr>
      <w:r>
        <w:rPr>
          <w:rFonts w:ascii="Times New Roman" w:cs="Times New Roman" w:eastAsia="Times New Roman" w:hAnsi="Times New Roman"/>
          <w:sz w:val="18"/>
          <w:szCs w:val="18"/>
          <w:color w:val="auto"/>
        </w:rPr>
        <w:t>Its:</w:t>
        <w:tab/>
        <w:t>CEO</w:t>
      </w:r>
    </w:p>
    <w:p>
      <w:pPr>
        <w:spacing w:after="0" w:line="18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11-15-2022</w:t>
      </w:r>
    </w:p>
    <w:p>
      <w:pPr>
        <w:sectPr>
          <w:pgSz w:w="11900" w:h="16838" w:orient="portrait"/>
          <w:cols w:equalWidth="0" w:num="1">
            <w:col w:w="10139"/>
          </w:cols>
          <w:pgMar w:left="320" w:top="1400" w:right="1440" w:bottom="1440"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is a very important document, and you should thoroughly review and understand the terms and effect of this document before signing it. By signing this General Release, you will be releasing Amkor Technology, Inc., a Delaware corporation (“Amkor”), and others from all liability to you. Therefore, you</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should consult with an attorney before signing this General Release. You have 53 days to consider this document. If you have not returned a signed copy of this General Release by that time, we will assume that you have elected not to sign this General Release. If you choose to sign this General Release, you will have an additional 7 days following the date of your signature to revoke this General Release and this General Release shall not become effective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until the revocation period has expired.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payments and benefits to which I would not otherwise be entitled provided to me by Amkor as set forth in my Executive Severance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dated November 15, 2022 (the “Severance Agreement”), and other good and valuable consideration to which I would not otherwise be entitled, I, Mark Rogers, on behalf of myself, my heirs, and my legal representatives and assigns, and anyone else claiming by, through, under or in concert with any of the foregoing, release (i.e., give up) and forever discharge Amkor and its current, former and future subsidiaries, their respective current, former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future, direct and indirect owners, officers, directors, employees, agents, successors, predecessors, assigns and affiliates, as well as their respective employee benefit plans (and any administrators, insurers, or fiduciaries thereof), and all persons acting by, through, under, or in concert with any of them (collectively, the “Released Parties”), from any and all known and unknown claims, demands, actions, causes of action, rights, damages, costs, expenses,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wages, vacation pay, sick or paid time off, or commissions, whether arising in contract, common law, statute or otherwise, whether foreign or domestic, whether local, state, or federal, including without limitation: Title VII of the Civil Rights Act of 1964, as amended, 42 U.S.C. § 2000e, et seq.; Sections 1981 and 1983 of the Civil Rights Act of 1866, as amended; the Age Discrimination in Employment Act (ADEA), as amended, 29 U.S.C. § 621,</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et seq.; the Employee Retirement Income Security Act of 1974 (ERISA), as amended, 29 U.S.C. § 1001, et seq.; the Americans with Disabilities Act of 1990 (ADA), as amended, 42 U.S.C. § 12101, et seq.; the Family and Medical Leave Act (FMLA), as amended, 29 U.S.C. § 2601, et seq.; the Worker Adjustment &amp; Retraining Notification Act (WARN Act), as amended; and any similar or foreign or domestic or state or local laws, such as the Arizona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Civil Rights Act and the Arizona Equal Pay Law, that I now have, or which were or could have been made, on account of my service with Amkor or any of its subsidiaries or affiliates, including my separation therefrom and any transaction or occurrence between me and the Released Parties at any time during such service and after separation up to the time I execute this General Release. I agree that I have waived all claims against the Released Parties except (i)</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respect of any obligation of Amkor arising under my Severance Agreement, (ii) vested benefits under any of Amkor’s employee benefit plans in which I participate, (iii) in respect of equity awards (including any options, RSUs, restricted stock, or any other form of equity) that I have been granted pursuant to the Amkor Technology, Inc. Second Amended and Restated 2007 Equity Incentive Plan and the Amkor Technology, Inc. 2021 Equity Incentive Plan, (iv)</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rights to indemnification under Amkor’s directors’ and officers’ insurance coverage for acts performed or omissions while I was an employee or officer of Amkor, and (v) those claims that as a matter of law are not waivable by an employee against an employee’s employer. It is my intention that the language relating to the description of claims in this paragraph shall be given the broadest possible interpretation permitted by law.</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 further agree that I will not file, cause to be filed, join, or accept any relief in any lawsuit (either individually, with others, or as part of a class) pleading, raising, or asserting any claims released in this General Release. If I breach this promise, then I will reimburse each of the Released Parties for the Released Party’s attorneys’ fees and costs (or the applicable proportions thereof) incurred in defending against any such released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General Release shall be construed to prohibit me from filing a charge with or participating in an investigation or proceeding conducted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Equal Employment Opportunity Commission (EEOC), National Labor Relations Board (NLRB), Securities and Exchange Commission (SEC), or any federal, state, or local agency. I understand that I have waived and released any and all claims for money damages and equitable relief that I may recover from the Released Parties pursuant to the filing or prosecution of any administrative charge against the Released Parties by me, or any resulting civil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proceeding or lawsuit brought on my behalf for the recovery of such relief, and which arises out of the matters that are and may be released or waived by this General Release. I also understand, however, that this General Release does not limit my ability to communicate with any government agencies or otherwise participate in any investigation or proceeding that may be conducted by any government agency, including providing documents or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information, without notice to Amkor. This General Release also does not limit my right to receive an award for information provided to any government agency. I acknowledge that</w:t>
      </w:r>
    </w:p>
    <w:p>
      <w:pPr>
        <w:sectPr>
          <w:pgSz w:w="11900" w:h="16838" w:orient="portrait"/>
          <w:cols w:equalWidth="0" w:num="1">
            <w:col w:w="11240"/>
          </w:cols>
          <w:pgMar w:left="320" w:top="1400" w:right="339" w:bottom="1440" w:gutter="0" w:footer="0" w:header="0"/>
        </w:sectPr>
      </w:pPr>
    </w:p>
    <w:bookmarkStart w:id="141" w:name="page142"/>
    <w:bookmarkEnd w:id="141"/>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prohibits me or Amkor or any person or entity from (i) reporting possible violation of federal law or regulation to any governmental agency or entity or self-regulatory organization or making disclosures that are protected under the whistleblower provisions of federal law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 (ii) supplying truthful information to any governmental authority or in response to any lawful subpoena or other legal process.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shall be interpreted or applied to affect or limit my otherwise lawful ability to challenge, under the Age Discrimination in Employment Act (ADEA) or Older Worker Benefit Protection Act (OWBPA), the knowing and voluntary nature of my release of any age claims in this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General Release before a court, the EEOC, or any other federal, state, or local agency, and I shall not be required to pay the attorneys’ fees or costs of any Released Party in connection with such challenge. Notwithstanding the foregoing, unless the release is set aside by a court of law, I understand that this General Release applies to and covers any claim that I may have under the ADEA and OWBPA.</w:t>
      </w:r>
    </w:p>
    <w:p>
      <w:pPr>
        <w:spacing w:after="0" w:line="19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Except as set forth in this General Release, I understand, acknowledge, and voluntarily agree that this General Release is a total and complete release by me of any and all claims which I have against the Released Parties as of the date I sign this Agreement, both known or unknown, even though there may be facts or consequences of facts which are unknown to 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By signing below, I acknowledge that I have carefully read and fully understand the provisions of this General Release. I further acknowledge that I am signing this General Release knowingly and voluntarily and without duress, coercion or undue influence. This General Release constitutes the total and complete understanding between me and the Released Parties relating to the subject matter covered by this General Release, and all other prior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contemporaneous written or oral agreements or representations, if any, relating to the subject matter covered by this General Release are null and void. Neither the Released Parties nor their respective agents, representatives or attorneys have made any representations to me concerning the terms or effects of this General Release other than those contained herein. It is also expressly understood and agreed that the terms of this General Release may not be altered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in a writing signed by both me and Amkor.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w:t>
      </w:r>
    </w:p>
    <w:p>
      <w:pPr>
        <w:sectPr>
          <w:pgSz w:w="11900" w:h="16838" w:orient="portrait"/>
          <w:cols w:equalWidth="0" w:num="1">
            <w:col w:w="11240"/>
          </w:cols>
          <w:pgMar w:left="320" w:top="1404" w:right="339" w:bottom="1440" w:gutter="0" w:footer="0" w:header="0"/>
        </w:sectPr>
      </w:pPr>
    </w:p>
    <w:bookmarkStart w:id="142" w:name="page143"/>
    <w:bookmarkEnd w:id="142"/>
    <w:p>
      <w:pPr>
        <w:ind w:right="20"/>
        <w:spacing w:after="0" w:line="224" w:lineRule="auto"/>
        <w:rPr>
          <w:sz w:val="20"/>
          <w:szCs w:val="20"/>
          <w:color w:val="auto"/>
        </w:rPr>
      </w:pPr>
      <w:r>
        <w:rPr>
          <w:rFonts w:ascii="Times New Roman" w:cs="Times New Roman" w:eastAsia="Times New Roman" w:hAnsi="Times New Roman"/>
          <w:sz w:val="18"/>
          <w:szCs w:val="18"/>
          <w:i w:val="1"/>
          <w:iCs w:val="1"/>
          <w:color w:val="auto"/>
        </w:rPr>
        <w:t>I agree and acknowledge that I have carefully read and understand this General Release, including the Section labeled “Notice” on the top of the first page; that I understand, in particular that I am agreeing to release all legal claims against the Released Parties, including, without limitation, Amkor; that</w:t>
      </w:r>
    </w:p>
    <w:p>
      <w:pPr>
        <w:spacing w:after="0" w:line="226" w:lineRule="auto"/>
        <w:rPr>
          <w:sz w:val="20"/>
          <w:szCs w:val="20"/>
          <w:color w:val="auto"/>
        </w:rPr>
      </w:pPr>
      <w:r>
        <w:rPr>
          <w:rFonts w:ascii="Times New Roman" w:cs="Times New Roman" w:eastAsia="Times New Roman" w:hAnsi="Times New Roman"/>
          <w:sz w:val="18"/>
          <w:szCs w:val="18"/>
          <w:i w:val="1"/>
          <w:iCs w:val="1"/>
          <w:color w:val="auto"/>
        </w:rPr>
        <w:t>I sign this General Release knowingly and voluntarily; that I have been advised to consult with an attorney before signing it; and that this General Release shall not be subject to claims of fraud, duress and/or mistake.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INTENDING TO BE LEGALLY BOUND, I hereby set my hand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ectPr>
          <w:pgSz w:w="11900" w:h="16838" w:orient="portrait"/>
          <w:cols w:equalWidth="0" w:num="1">
            <w:col w:w="11240"/>
          </w:cols>
          <w:pgMar w:left="320" w:top="1402" w:right="3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2" w:lineRule="exact"/>
        <w:rPr>
          <w:sz w:val="20"/>
          <w:szCs w:val="20"/>
          <w:color w:val="auto"/>
        </w:rPr>
      </w:pPr>
    </w:p>
    <w:p>
      <w:pPr>
        <w:sectPr>
          <w:pgSz w:w="11900" w:h="16838" w:orient="portrait"/>
          <w:cols w:equalWidth="0" w:num="2">
            <w:col w:w="2260" w:space="720"/>
            <w:col w:w="8260"/>
          </w:cols>
          <w:pgMar w:left="320" w:top="1402" w:right="339" w:bottom="1440" w:gutter="0" w:footer="0" w:header="0"/>
          <w:type w:val="continuous"/>
        </w:sectPr>
      </w:pPr>
    </w:p>
    <w:p>
      <w:pPr>
        <w:spacing w:after="0" w:line="235" w:lineRule="auto"/>
        <w:rPr>
          <w:sz w:val="20"/>
          <w:szCs w:val="20"/>
          <w:color w:val="auto"/>
        </w:rPr>
      </w:pPr>
      <w:r>
        <w:rPr>
          <w:rFonts w:ascii="Times New Roman" w:cs="Times New Roman" w:eastAsia="Times New Roman" w:hAnsi="Times New Roman"/>
          <w:sz w:val="18"/>
          <w:szCs w:val="18"/>
          <w:color w:val="auto"/>
        </w:rPr>
        <w:t>Mark Rogers</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1500" w:space="720"/>
            <w:col w:w="9020"/>
          </w:cols>
          <w:pgMar w:left="320" w:top="1402"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WITNESSED BY:</w:t>
      </w:r>
    </w:p>
    <w:p>
      <w:pPr>
        <w:sectPr>
          <w:pgSz w:w="11900" w:h="16838" w:orient="portrait"/>
          <w:cols w:equalWidth="0" w:num="1">
            <w:col w:w="11240"/>
          </w:cols>
          <w:pgMar w:left="320" w:top="1402"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20" w:lineRule="exact"/>
        <w:rPr>
          <w:sz w:val="20"/>
          <w:szCs w:val="20"/>
          <w:color w:val="auto"/>
        </w:rPr>
      </w:pPr>
    </w:p>
    <w:p>
      <w:pPr>
        <w:sectPr>
          <w:pgSz w:w="11900" w:h="16838" w:orient="portrait"/>
          <w:cols w:equalWidth="0" w:num="2">
            <w:col w:w="2260" w:space="720"/>
            <w:col w:w="8260"/>
          </w:cols>
          <w:pgMar w:left="320" w:top="140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2">
            <w:col w:w="1820" w:space="720"/>
            <w:col w:w="8700"/>
          </w:cols>
          <w:pgMar w:left="320" w:top="1402" w:right="3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6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THIS EXECUTIVE SEVERANCE AGREEMENT </w:t>
      </w:r>
      <w:r>
        <w:rPr>
          <w:rFonts w:ascii="Times New Roman" w:cs="Times New Roman" w:eastAsia="Times New Roman" w:hAnsi="Times New Roman"/>
          <w:sz w:val="18"/>
          <w:szCs w:val="18"/>
          <w:color w:val="auto"/>
        </w:rPr>
        <w:t>(this “Agreement”) is made and entered into as of the 13th day of February,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by and between Amkor Technology, Inc., a Delaware corporation (the “Company”), and Kevin Engel (the “Executive”).</w:t>
      </w:r>
    </w:p>
    <w:p>
      <w:pPr>
        <w:spacing w:after="0" w:line="16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and the Company desire to enter into this Agreement to provide the Executive with security in the event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terminations and to better enable the Executive to devote Executive’s best efforts to the business of the Company.</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for the foregoing premises, and the mutual covenants, terms and conditions set forth herein,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and intending to be legally bound hereby, the Company and Executive agree as follows:</w:t>
      </w:r>
    </w:p>
    <w:p>
      <w:pPr>
        <w:spacing w:after="0" w:line="14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1.</w:t>
      </w:r>
      <w:r>
        <w:rPr>
          <w:sz w:val="20"/>
          <w:szCs w:val="20"/>
          <w:color w:val="auto"/>
        </w:rPr>
        <w:tab/>
      </w:r>
      <w:r>
        <w:rPr>
          <w:rFonts w:ascii="Times New Roman" w:cs="Times New Roman" w:eastAsia="Times New Roman" w:hAnsi="Times New Roman"/>
          <w:sz w:val="17"/>
          <w:szCs w:val="17"/>
          <w:b w:val="1"/>
          <w:bCs w:val="1"/>
          <w:color w:val="auto"/>
        </w:rPr>
        <w:t>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effective from the Effective Date.</w:t>
      </w:r>
    </w:p>
    <w:p>
      <w:pPr>
        <w:spacing w:after="0" w:line="19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used in this Agreement, the following terms will have the meanings set forth below.</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 xml:space="preserve">Affiliate </w:t>
      </w:r>
      <w:r>
        <w:rPr>
          <w:rFonts w:ascii="Times New Roman" w:cs="Times New Roman" w:eastAsia="Times New Roman" w:hAnsi="Times New Roman"/>
          <w:sz w:val="18"/>
          <w:szCs w:val="18"/>
          <w:color w:val="auto"/>
        </w:rPr>
        <w:t>means a corporation or other entity controlled by, controlling or under common control with the Company, including, without limitation,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any corporation partnership, joint venture or other entity during any period in which at least a fifty percent (50%) voting or profits interest is owned, directly or indirectly, by the Company or any successor to the Company.</w:t>
      </w:r>
    </w:p>
    <w:p>
      <w:pPr>
        <w:spacing w:after="0" w:line="15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means the salary of record paid to an Executive as annual salary, excluding amounts received under incentive or other bonus plans (including, without limitation, the Bonus Plan), whether or not deferred.</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 xml:space="preserve">Board </w:t>
      </w:r>
      <w:r>
        <w:rPr>
          <w:rFonts w:ascii="Times New Roman" w:cs="Times New Roman" w:eastAsia="Times New Roman" w:hAnsi="Times New Roman"/>
          <w:sz w:val="17"/>
          <w:szCs w:val="17"/>
          <w:color w:val="auto"/>
        </w:rPr>
        <w:t>means the Board of Directors of the Company.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 xml:space="preserve">Bonus Plan </w:t>
      </w:r>
      <w:r>
        <w:rPr>
          <w:rFonts w:ascii="Times New Roman" w:cs="Times New Roman" w:eastAsia="Times New Roman" w:hAnsi="Times New Roman"/>
          <w:sz w:val="17"/>
          <w:szCs w:val="17"/>
          <w:color w:val="auto"/>
        </w:rPr>
        <w:t>means the Company’s Amended and Restated Executive Incentive Bonus Plan, or any successor plan thereto.</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if the Executive is party to an employment or similar agreement that contains a definition of “Cause,” the definition set forth in such agreement, and, in every other case, “Cause” means:</w:t>
      </w:r>
    </w:p>
    <w:p>
      <w:pPr>
        <w:spacing w:after="0" w:line="158" w:lineRule="exact"/>
        <w:rPr>
          <w:sz w:val="20"/>
          <w:szCs w:val="20"/>
          <w:color w:val="auto"/>
        </w:rPr>
      </w:pPr>
    </w:p>
    <w:p>
      <w:pPr>
        <w:ind w:left="660" w:right="20" w:firstLine="644"/>
        <w:spacing w:after="0" w:line="250" w:lineRule="auto"/>
        <w:tabs>
          <w:tab w:leader="none" w:pos="19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commission of, or guilty plea or plea of no contest to, a felony (or a crime of similar magnitude under applicable laws outside the United States) or any crime that involves moral turpitude;</w:t>
      </w:r>
    </w:p>
    <w:p>
      <w:pPr>
        <w:spacing w:after="0" w:line="149" w:lineRule="exact"/>
        <w:rPr>
          <w:rFonts w:ascii="Times New Roman" w:cs="Times New Roman" w:eastAsia="Times New Roman" w:hAnsi="Times New Roman"/>
          <w:sz w:val="18"/>
          <w:szCs w:val="18"/>
          <w:color w:val="auto"/>
        </w:rPr>
      </w:pPr>
    </w:p>
    <w:p>
      <w:pPr>
        <w:ind w:left="660" w:firstLine="644"/>
        <w:spacing w:after="0" w:line="237" w:lineRule="auto"/>
        <w:tabs>
          <w:tab w:leader="none" w:pos="195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the Executive that constitutes fraud or embezzlement or any acts of intentional dishonesty in relation to the Executive’s duties to the Company;</w:t>
      </w:r>
    </w:p>
    <w:p>
      <w:pPr>
        <w:spacing w:after="0" w:line="171" w:lineRule="exact"/>
        <w:rPr>
          <w:rFonts w:ascii="Times New Roman" w:cs="Times New Roman" w:eastAsia="Times New Roman" w:hAnsi="Times New Roman"/>
          <w:sz w:val="18"/>
          <w:szCs w:val="18"/>
          <w:color w:val="auto"/>
        </w:rPr>
      </w:pPr>
    </w:p>
    <w:p>
      <w:pPr>
        <w:ind w:left="660" w:firstLine="644"/>
        <w:spacing w:after="0" w:line="237" w:lineRule="auto"/>
        <w:tabs>
          <w:tab w:leader="none" w:pos="19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engaged in gross negligence or intentional misconduct which causes, or in the reasonable judgment of the Committee, is reasonably likely to cause, either reputational or economic harm to the Company or its Affiliates; or</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4" w:lineRule="auto"/>
        <w:tabs>
          <w:tab w:leader="none" w:pos="195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the Executive’s obligations under this Agreement (including, without limitation, Article 4 hereof), any employment or similar agreement or any written Company policy, including any code of conduct, which is not cured, if curable, within ten (10) days after the Committee notifies the Executive of such breach (which notice specifies in reasonable detail the grounds constituting Cause).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 xml:space="preserve">Change in Control </w:t>
      </w:r>
      <w:r>
        <w:rPr>
          <w:rFonts w:ascii="Times New Roman" w:cs="Times New Roman" w:eastAsia="Times New Roman" w:hAnsi="Times New Roman"/>
          <w:sz w:val="17"/>
          <w:szCs w:val="17"/>
          <w:color w:val="auto"/>
        </w:rPr>
        <w:t>has the meaning set forth in the Equity Incentive Plan.</w:t>
      </w:r>
    </w:p>
    <w:p>
      <w:pPr>
        <w:sectPr>
          <w:pgSz w:w="11900" w:h="16838" w:orient="portrait"/>
          <w:cols w:equalWidth="0" w:num="1">
            <w:col w:w="11240"/>
          </w:cols>
          <w:pgMar w:left="320" w:top="1400" w:right="339" w:bottom="1440" w:gutter="0" w:footer="0" w:header="0"/>
        </w:sectPr>
      </w:pPr>
    </w:p>
    <w:bookmarkStart w:id="144" w:name="page145"/>
    <w:bookmarkEnd w:id="14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u w:val="single" w:color="auto"/>
          <w:color w:val="auto"/>
        </w:rPr>
        <w:t xml:space="preserve">COBRA </w:t>
      </w:r>
      <w:r>
        <w:rPr>
          <w:rFonts w:ascii="Times New Roman" w:cs="Times New Roman" w:eastAsia="Times New Roman" w:hAnsi="Times New Roman"/>
          <w:sz w:val="17"/>
          <w:szCs w:val="17"/>
          <w:color w:val="auto"/>
        </w:rPr>
        <w:t>means the Consolidated Omnibus Budget Reconciliation Act of 1986, as amended from time to time.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u w:val="single" w:color="auto"/>
          <w:color w:val="auto"/>
        </w:rPr>
        <w:t xml:space="preserve">Code </w:t>
      </w:r>
      <w:r>
        <w:rPr>
          <w:rFonts w:ascii="Times New Roman" w:cs="Times New Roman" w:eastAsia="Times New Roman" w:hAnsi="Times New Roman"/>
          <w:sz w:val="17"/>
          <w:szCs w:val="17"/>
          <w:color w:val="auto"/>
        </w:rPr>
        <w:t>means the Internal Revenue Code of 1986, as amended from time to time.</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Compensation Committee of the Board or any other committee of the Board appointed to perform the functions of the Compensation Committee.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u w:val="single" w:color="auto"/>
          <w:color w:val="auto"/>
        </w:rPr>
        <w:t xml:space="preserve">Company </w:t>
      </w:r>
      <w:r>
        <w:rPr>
          <w:rFonts w:ascii="Times New Roman" w:cs="Times New Roman" w:eastAsia="Times New Roman" w:hAnsi="Times New Roman"/>
          <w:sz w:val="17"/>
          <w:szCs w:val="17"/>
          <w:color w:val="auto"/>
        </w:rPr>
        <w:t>means Amkor Technology, Inc., a Delaware corporation, or any successor thereto as provided in Article 10 herein.</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if the Executive is party to an employment agreement that contains a definition of “Disability,” the definition set forth in such agreement, and, in every other case, “Disability” means the inability of the Executive to engage in any substantial gainful activity by reason of any medically determinable physical or mental impairment which can be expected to result in death or that has lasted or can be expected to last for a continuous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period of not less than twelve (12) months, as provided in Section 22(e)(3) and 409A(A)(2)(C)(i) of the Code, and will be determined by the Committee on the basis of such medical evidence as the Committee deemed warranted under the circumstances.</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means, as applicable, the Amkor Technology, Inc. Second Amended and Restated 2007 Equity Incentive Plan, the Amkor Technology, Inc. 2021 Equity Incentive Plan, or any successor plan thereto, in each case, as amended, restated and/or supplemented from time to time.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 xml:space="preserve">Exchange Act </w:t>
      </w:r>
      <w:r>
        <w:rPr>
          <w:rFonts w:ascii="Times New Roman" w:cs="Times New Roman" w:eastAsia="Times New Roman" w:hAnsi="Times New Roman"/>
          <w:sz w:val="17"/>
          <w:szCs w:val="17"/>
          <w:color w:val="auto"/>
        </w:rPr>
        <w:t>means the Securities Exchange Act of 1934, as amended from time to time, and any successor thereto.</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 xml:space="preserve">Global Mobility Policy </w:t>
      </w:r>
      <w:r>
        <w:rPr>
          <w:rFonts w:ascii="Times New Roman" w:cs="Times New Roman" w:eastAsia="Times New Roman" w:hAnsi="Times New Roman"/>
          <w:sz w:val="17"/>
          <w:szCs w:val="17"/>
          <w:color w:val="auto"/>
        </w:rPr>
        <w:t>means the Company’s Global Mobility Policy and Procedure, as in effect from time to time.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reduction in the Executive’s authority, duties or responsibilities; (ii) a material reduction in the Executive’s Base Salary or target bonus opportunity under the Bonus Plan (in each case, other than a reduction that is imposed proportionately on substantially all executive officers); or (iii) a relocation of the Executive’s principal place of employment, without the Executive’s express written approval, to a location more than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fifty (50) miles from the location at which the Executive performs the Executive’s duties as of the Effective Date. No termination of employment by the Executive shall be treated as being for Good Reason unless the Executive provides a Notice of Termination pursuant to Section 3.5 within sixty (60) days after the time that the facts or circumstances constituting Good Reason initially arise and provides the Company a cure period of thirty (30) days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receipt of such notice, there is no cure and such resignation is effective prior to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end of such cure period.</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means a written notice which indicates the specific termination provision in this Agreement relied upon and sets forth in reasonable detail the facts and circumstances claimed to provide a basis for termination of the Executive’s employment under the provision so indicated.</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has the meaning ascribed to such term in Section 3(a)(9) of the Exchange Act and used in Sections 13(d) and 14(d) thereof, including a “group” as provided in Section 13(d).</w:t>
      </w:r>
    </w:p>
    <w:p>
      <w:pPr>
        <w:spacing w:after="0" w:line="1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 xml:space="preserve">Qualifying CIC Termination </w:t>
      </w:r>
      <w:r>
        <w:rPr>
          <w:rFonts w:ascii="Times New Roman" w:cs="Times New Roman" w:eastAsia="Times New Roman" w:hAnsi="Times New Roman"/>
          <w:sz w:val="17"/>
          <w:szCs w:val="17"/>
          <w:color w:val="auto"/>
        </w:rPr>
        <w:t>shall occur if, during the period beginning on the ninetieth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day prior to the date that a Change in Control occurs</w:t>
      </w:r>
    </w:p>
    <w:p>
      <w:pPr>
        <w:jc w:val="both"/>
        <w:spacing w:after="0" w:line="204" w:lineRule="auto"/>
        <w:rPr>
          <w:sz w:val="20"/>
          <w:szCs w:val="20"/>
          <w:color w:val="auto"/>
        </w:rPr>
      </w:pPr>
      <w:r>
        <w:rPr>
          <w:rFonts w:ascii="Times New Roman" w:cs="Times New Roman" w:eastAsia="Times New Roman" w:hAnsi="Times New Roman"/>
          <w:sz w:val="18"/>
          <w:szCs w:val="18"/>
          <w:color w:val="auto"/>
        </w:rPr>
        <w:t>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(i) by the Company for reasons other than Cause, Disability or death or (ii) by the Executive for Good Reason.</w:t>
      </w:r>
    </w:p>
    <w:p>
      <w:pPr>
        <w:spacing w:after="0" w:line="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 xml:space="preserve">Qualifying Non-CIC Termination </w:t>
      </w:r>
      <w:r>
        <w:rPr>
          <w:rFonts w:ascii="Times New Roman" w:cs="Times New Roman" w:eastAsia="Times New Roman" w:hAnsi="Times New Roman"/>
          <w:sz w:val="18"/>
          <w:szCs w:val="18"/>
          <w:color w:val="auto"/>
        </w:rPr>
        <w:t>shall occur if, any time other than during the period beginning on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the date that a</w:t>
      </w:r>
    </w:p>
    <w:p>
      <w:pPr>
        <w:jc w:val="both"/>
        <w:ind w:right="20"/>
        <w:spacing w:after="0" w:line="204" w:lineRule="auto"/>
        <w:rPr>
          <w:sz w:val="20"/>
          <w:szCs w:val="20"/>
          <w:color w:val="auto"/>
        </w:rPr>
      </w:pPr>
      <w:r>
        <w:rPr>
          <w:rFonts w:ascii="Times New Roman" w:cs="Times New Roman" w:eastAsia="Times New Roman" w:hAnsi="Times New Roman"/>
          <w:sz w:val="18"/>
          <w:szCs w:val="18"/>
          <w:color w:val="auto"/>
        </w:rPr>
        <w:t>Change in Control occurs and ending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the date that such Change in Control occurs, the Executive incurs a Separation from Service by the Company for reasons other than Cause, Disability or death.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u w:val="single" w:color="auto"/>
          <w:color w:val="auto"/>
        </w:rPr>
        <w:t xml:space="preserve">Separation from Service </w:t>
      </w:r>
      <w:r>
        <w:rPr>
          <w:rFonts w:ascii="Times New Roman" w:cs="Times New Roman" w:eastAsia="Times New Roman" w:hAnsi="Times New Roman"/>
          <w:sz w:val="18"/>
          <w:szCs w:val="18"/>
          <w:color w:val="auto"/>
        </w:rPr>
        <w:t>means the Executive’s termination of employment with the Company, its Affiliates and with each member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controlled group (within the meaning of Sections 414(b) or (c) of the Code) of which the Company is a member. An Executive will not be treated as having a Separation from Service during any period the Executive’s employment relationship continues, such as a result of a leave of absence, and whether a Separation from Service has occurred shall be determined by the Committee (on a basis consistent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45" w:name="page146"/>
    <w:bookmarkEnd w:id="145"/>
    <w:p>
      <w:pPr>
        <w:jc w:val="both"/>
        <w:spacing w:after="0" w:line="222" w:lineRule="auto"/>
        <w:rPr>
          <w:sz w:val="20"/>
          <w:szCs w:val="20"/>
          <w:color w:val="auto"/>
        </w:rPr>
      </w:pPr>
      <w:r>
        <w:rPr>
          <w:rFonts w:ascii="Times New Roman" w:cs="Times New Roman" w:eastAsia="Times New Roman" w:hAnsi="Times New Roman"/>
          <w:sz w:val="18"/>
          <w:szCs w:val="18"/>
          <w:color w:val="auto"/>
        </w:rPr>
        <w:t>regulations under Section 409A of the Code) after consideration of all the facts and circumstances, including whether either no further services are to be performed or there is a reasonably anticipated permanent and substantial decrease (e.g., 80% or more) in the level of services to be performed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amount of compensation to be received for such services) below the level of services previously performed (and compensation previously received).</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auto"/>
        </w:rPr>
        <w:t xml:space="preserve">Severance Benefits </w:t>
      </w:r>
      <w:r>
        <w:rPr>
          <w:rFonts w:ascii="Times New Roman" w:cs="Times New Roman" w:eastAsia="Times New Roman" w:hAnsi="Times New Roman"/>
          <w:sz w:val="17"/>
          <w:szCs w:val="17"/>
          <w:color w:val="auto"/>
        </w:rPr>
        <w:t>means the payment of severance compensation as provided in Section 3.1 or 3.2 herein.</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8"/>
          <w:szCs w:val="18"/>
          <w:b w:val="1"/>
          <w:bCs w:val="1"/>
          <w:color w:val="auto"/>
        </w:rPr>
        <w:t>Severance Benefits</w:t>
      </w:r>
    </w:p>
    <w:p>
      <w:pPr>
        <w:spacing w:after="0" w:line="202"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Severance Benefits in Connection with a Change in Control</w:t>
      </w:r>
      <w:r>
        <w:rPr>
          <w:rFonts w:ascii="Times New Roman" w:cs="Times New Roman" w:eastAsia="Times New Roman" w:hAnsi="Times New Roman"/>
          <w:sz w:val="18"/>
          <w:szCs w:val="18"/>
          <w:color w:val="auto"/>
        </w:rPr>
        <w:t xml:space="preserve">. If a Qualifying CIC Termination of the Executive occurs, and provided that the Executive executes and does not revoke the release of claims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w:t>
      </w:r>
    </w:p>
    <w:p>
      <w:pPr>
        <w:spacing w:after="0"/>
        <w:rPr>
          <w:sz w:val="20"/>
          <w:szCs w:val="20"/>
          <w:color w:val="auto"/>
        </w:rPr>
      </w:pPr>
      <w:r>
        <w:rPr>
          <w:rFonts w:ascii="Times New Roman" w:cs="Times New Roman" w:eastAsia="Times New Roman" w:hAnsi="Times New Roman"/>
          <w:sz w:val="18"/>
          <w:szCs w:val="18"/>
          <w:color w:val="auto"/>
        </w:rPr>
        <w:t>following payments and benefits:</w:t>
      </w:r>
    </w:p>
    <w:p>
      <w:pPr>
        <w:spacing w:after="0" w:line="165" w:lineRule="exact"/>
        <w:rPr>
          <w:sz w:val="20"/>
          <w:szCs w:val="20"/>
          <w:color w:val="auto"/>
        </w:rPr>
      </w:pPr>
    </w:p>
    <w:p>
      <w:pPr>
        <w:jc w:val="both"/>
        <w:ind w:left="660" w:firstLine="644"/>
        <w:spacing w:after="0" w:line="231" w:lineRule="auto"/>
        <w:tabs>
          <w:tab w:leader="none" w:pos="19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one and one-half (1.5) times the sum of (i) the Executive’s Base Salary immediately prior to the Qualifying CIC Termination and (ii)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Executive’s target bonus amount under the Bonus Plan for the year of termination,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the amount of premiums that the Executive and his or her eligible dependents would be required to pay for continued coverage under the Company’s group health plans pursuant to COBRA for 18 months, payable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the Change in Control shall become 100% vested as of the later of the date of the Qualifying CIC Termination and the Change in Control (but immediately prior to the consummation thereof), and any such equity award that is a stock option shall remain exercisable until the earlier of (i) twenty-four (24) months following the date of such Qualifying CIC Termination, or (ii) the original expiration date of such award (subject to the treatment of such equity award in connection with such Change in Control); and</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the Change in Control shall remain subject to the provisions of the applicable award agreement and the Equity Incentive Plan.</w:t>
      </w:r>
    </w:p>
    <w:p>
      <w:pPr>
        <w:spacing w:after="0" w:line="17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Severance Benefits Not in Connection with a Change in Control</w:t>
      </w:r>
      <w:r>
        <w:rPr>
          <w:rFonts w:ascii="Times New Roman" w:cs="Times New Roman" w:eastAsia="Times New Roman" w:hAnsi="Times New Roman"/>
          <w:sz w:val="18"/>
          <w:szCs w:val="18"/>
          <w:color w:val="auto"/>
        </w:rPr>
        <w:t>. If a Qualifying Non-CIC Termination of the Executive occurs, and provided that the Executive executes and does not revoke the Release and such Release becomes effective (without having been revoked)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Executive’s Separation from Service, the Executive will be entitled to receive from the Company the following payments and benefits:</w:t>
      </w:r>
    </w:p>
    <w:p>
      <w:pPr>
        <w:spacing w:after="0" w:line="171" w:lineRule="exact"/>
        <w:rPr>
          <w:sz w:val="20"/>
          <w:szCs w:val="20"/>
          <w:color w:val="auto"/>
        </w:rPr>
      </w:pPr>
    </w:p>
    <w:p>
      <w:pPr>
        <w:jc w:val="both"/>
        <w:ind w:left="660" w:firstLine="644"/>
        <w:spacing w:after="0" w:line="224" w:lineRule="auto"/>
        <w:tabs>
          <w:tab w:leader="none" w:pos="19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(1) times the sum of (i) the Executive’s Base Salary immediately prior to the Qualifying Non-CIC Termination and (ii) the Executive’s target bonus amount under the Bonus Plan for the year of termination, payable in substantially equal bi-weekly installments for a period of twelve (12) months, beginning on the first payroll date after the Release becomes effective or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9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for the year of termination determined based on the actual bonus under the Bonus Plan for the year of termination, if any, the Executive would have been paid for such year absent such termination, but determined without respect to any discretionary component and the non-discretionary components shall be reweighted proportionally, payable on the latest of (i) the date on which the Company pays bonuses for such year generally, (ii) the date on which the Release becomes effective, and (iii) such later date as may be required to comply with Section 409A of the Code;</w:t>
      </w:r>
    </w:p>
    <w:p>
      <w:pPr>
        <w:spacing w:after="0" w:line="158"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9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premiums that the Executive and the Executive’s eligible dependents would be required to pay for continued coverage under the Company’s group health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46" w:name="page147"/>
    <w:bookmarkEnd w:id="146"/>
    <w:p>
      <w:pPr>
        <w:ind w:left="660"/>
        <w:spacing w:after="0" w:line="237" w:lineRule="auto"/>
        <w:rPr>
          <w:sz w:val="20"/>
          <w:szCs w:val="20"/>
          <w:color w:val="auto"/>
        </w:rPr>
      </w:pPr>
      <w:r>
        <w:rPr>
          <w:rFonts w:ascii="Times New Roman" w:cs="Times New Roman" w:eastAsia="Times New Roman" w:hAnsi="Times New Roman"/>
          <w:sz w:val="18"/>
          <w:szCs w:val="18"/>
          <w:color w:val="auto"/>
        </w:rPr>
        <w:t>pursuant to COBRA for twelve (12) months, payable in substantially equal bi-weekly installments for a period of twelve (12) months, beginning on the first payroll date after the Release becomes effective or such later date as may be required to comply with Section 409A of the Code; and</w:t>
      </w:r>
    </w:p>
    <w:p>
      <w:pPr>
        <w:spacing w:after="0" w:line="172" w:lineRule="exact"/>
        <w:rPr>
          <w:sz w:val="20"/>
          <w:szCs w:val="20"/>
          <w:color w:val="auto"/>
        </w:rPr>
      </w:pPr>
    </w:p>
    <w:p>
      <w:pPr>
        <w:jc w:val="both"/>
        <w:ind w:left="660" w:right="20" w:firstLine="644"/>
        <w:spacing w:after="0" w:line="226" w:lineRule="auto"/>
        <w:tabs>
          <w:tab w:leader="none" w:pos="19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time-based vesting granted to the Executive that is outstanding immediately prior to, but has not vested as of, the date of such Qualifying Non-CIC Termination shall remain subject to the provisions of the applicable award agreement and the Equity Incentive Plan; and</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5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award subject to performance-based vesting granted to the Executive that is outstanding immediately prior to, but has not vested as of, the date of such Qualifying Non-CIC Termination shall remain subject to the provisions of the applicable award agreement and the Equity Incentive Plan.</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Other Terminations of Employment</w:t>
      </w:r>
      <w:r>
        <w:rPr>
          <w:rFonts w:ascii="Times New Roman" w:cs="Times New Roman" w:eastAsia="Times New Roman" w:hAnsi="Times New Roman"/>
          <w:sz w:val="18"/>
          <w:szCs w:val="18"/>
          <w:color w:val="auto"/>
        </w:rPr>
        <w:t>. For the avoidance of doubt, if, at any time, the Executive’s employment is terminated and such termination of employment is not a Qualifying CIC Termination or a Qualifying Non-CIC Termination, the Executive will not be entitled to the Severance Benefits described in Section 3.1 or 3.2.</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With respect to any Separation from Service, the Company will pay the Executive an amount equal to: (i) unpaid Base Salary earned prior to the date of the Executive’s Separation from Service; (ii) unused vacation time accrued prior to the date of the Executive’s Separation from Service; and (iii) vested benefits earned under any employee benefit plan or program, in accordance with the terms and conditions thereof.</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employment by the Company or by the Executive for Good Reason will be communicated by a Notice of Termination.</w:t>
      </w:r>
    </w:p>
    <w:p>
      <w:pPr>
        <w:spacing w:after="0" w:line="15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8"/>
          <w:szCs w:val="18"/>
          <w:b w:val="1"/>
          <w:bCs w:val="1"/>
          <w:color w:val="auto"/>
        </w:rPr>
        <w:t>Return of Property; Restrictive Covenants; Cooperation</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On or before the Executive’s Separation from Service, the Executive shall return to the Company all files, memoranda, documents, records, copies of the foregoing, Company-provided credit cards, keys, building passes, security passes, access or identification cards, and any other Company property in the Executive’s possession or control. To the extent the Executive subsequently discovers that any property or data identified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above is still in the Executive’s possession, custody or control after the Executive’s Separation from Service, the Executive shall return all such property and data to the Company as soon as practicable, but in no event later than ten (10) days after making such discovery. On or before the Executive’s Separation from Service, the Executive shall clear all expense accounts, repay everything the Executive owes to the Company or any Affiliate thereof, pay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amounts the Executive owes on Company-provided credit cards or accounts (such as cell phone accounts), and cancel or personally assume any such credit cards or accounts. On and after the Executive’s Separation from Service, the Executive shall not incur any expenses, obligations, or liabilities on behalf of the Company or any of its Affiliates.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Beginning on the date hereof and continuing for twelve (12) months following the Executive’s Separation from Service (the “Restriction Period”), the Executive shall not, without the express prior written consent of the Committee, engage in or carry on, directly or indirectly, whether as an advisor, principal, agent, partner, officer, director, employee, stockholder, associate or consultant to any Person, or any other business entity,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business of outsourced semiconductor packaging or test services anywhere in the United States or any other country in which the Company conducts business; provided that ownership by the Executive of Company securities or of less than a five percent (5%) publicly traded equity interest in a public company shall not be a breach of this Section 4.2.</w:t>
      </w:r>
    </w:p>
    <w:p>
      <w:pPr>
        <w:spacing w:after="0" w:line="17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Restriction Period, the Executive shall not, without the express prior written consent of the Board, directly or indirectly, for the Executive or on behalf of any other Person or any other business entity, (i) solicit or encourage any customer, vendor, client or prospective customer, vendor or client (or anyone who was a customer, vendor or client during the Restriction Period) to cease any relationship with the Company or any of its Affiliates or (ii) solicit or encourage any employee or consultant of the Company or any of its Affiliates (or anyone who was an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employee or consultant of the Company or any of its Affiliates during the Restriction Period) to leave the employment of or cease to perform services for the Company or any of its Affiliates; provided that this Section 4.3 shall not prohibit any general public advertisement or general solicitation for personnel not specifically directed at any employee or consultant of the Company or any of its Affiliates.</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Beginning on the date hereof and at all times hereafter, the Executive shall not make any public statement that is in any way disparaging, derogatory or defamatory regarding the Company, any of its Affiliates or any of their respective officers, directors, employees, consultants, reputations, products,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47" w:name="page148"/>
    <w:bookmarkEnd w:id="147"/>
    <w:p>
      <w:pPr>
        <w:jc w:val="both"/>
        <w:spacing w:after="0" w:line="222" w:lineRule="auto"/>
        <w:rPr>
          <w:sz w:val="20"/>
          <w:szCs w:val="20"/>
          <w:color w:val="auto"/>
        </w:rPr>
      </w:pPr>
      <w:r>
        <w:rPr>
          <w:rFonts w:ascii="Times New Roman" w:cs="Times New Roman" w:eastAsia="Times New Roman" w:hAnsi="Times New Roman"/>
          <w:sz w:val="18"/>
          <w:szCs w:val="18"/>
          <w:color w:val="auto"/>
        </w:rPr>
        <w:t>procedures, policies or services, which is reasonably likely to (i) damage materially the reputation of the Company or any of its Affiliates or (ii) interfere materially with the contracts or business relationships of the Company or any of its Affiliates. “Public statements” mean any statement, whether written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oral, made in any public forum, including in any social media or website. However, nothing in this Section 4.4 shall prohibit the Executive from testifying truthfully in any forum or contacting, cooperating with or providing truthful information to any government agency or commission.</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Executive’s Separation from Service, the Executive shall provide reasonable assistance to and cooperate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and its Affiliates as to any claims, controversies, disputes, or complaints of which the Executive has knowledge or that may relate to the Executive or the Executive’s employment or other relationships with the Company or any of its Affiliates. Such cooperation includes but is not limited to providing the Company and its Affiliates with all information known to the Executive related to the foregoing, meeting with counsel, and appearing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giving testimony in any forum. The Company will reimburse the Executive for any reasonable out-of-pocket expenses incurred by the Executive in providing assistance under this Section 4.5.</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7"/>
          <w:szCs w:val="17"/>
          <w:b w:val="1"/>
          <w:bCs w:val="1"/>
          <w:color w:val="auto"/>
        </w:rPr>
        <w:t>Excise Tax Under Section 4999 of the Code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Excess Parachute Payments</w:t>
      </w:r>
      <w:r>
        <w:rPr>
          <w:rFonts w:ascii="Times New Roman" w:cs="Times New Roman" w:eastAsia="Times New Roman" w:hAnsi="Times New Roman"/>
          <w:sz w:val="18"/>
          <w:szCs w:val="18"/>
          <w:color w:val="auto"/>
        </w:rPr>
        <w:t>. Notwithstanding any provision of this Agreement to the contrary, if any payment or benefit the Executive would receive pursuant to this Agreement or otherwise (collectively, the “Payments”) would constitute a “parachute payment” within the meaning of Section 280G of the Code, and, but for this Section 5.1, would be subject to the excise tax imposed by Section 4999 of the Code or any similar or successor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 (the “Excise Tax”),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maximum reduction in federal income taxes which could be obtained from a deduction of such state and local taxes), results in the Executive’s receipt, on an after-tax basis, of the greatest amount of the Payments. Any reduction in the Payments required by this Section 5.1 will be made in the following order:</w:t>
      </w:r>
    </w:p>
    <w:p>
      <w:pPr>
        <w:spacing w:after="0" w:line="1" w:lineRule="exact"/>
        <w:rPr>
          <w:sz w:val="20"/>
          <w:szCs w:val="20"/>
          <w:color w:val="auto"/>
        </w:rPr>
      </w:pPr>
    </w:p>
    <w:p>
      <w:pPr>
        <w:jc w:val="both"/>
        <w:ind w:firstLine="8"/>
        <w:spacing w:after="0" w:line="218" w:lineRule="auto"/>
        <w:tabs>
          <w:tab w:leader="none" w:pos="2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cash payments; (ii) reduction of accelerated vesting of equity awards other than stock options; (iii) reduction of accelerated vesting of stock options; and (iv) reduction of other benefits paid or provided to the Executive. If acceleration of vesting of equity awards is to be reduced, such acceleration of vesting will be cancelled in the reverse order of the date of grant of the Executive’s equity awards. If two or more equity awards are granted on the same date, the accelerated vesting of each award will be reduced on a pro-rata basis.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Determination by Accounting Firm</w:t>
      </w:r>
      <w:r>
        <w:rPr>
          <w:rFonts w:ascii="Times New Roman" w:cs="Times New Roman" w:eastAsia="Times New Roman" w:hAnsi="Times New Roman"/>
          <w:sz w:val="18"/>
          <w:szCs w:val="18"/>
          <w:color w:val="auto"/>
        </w:rPr>
        <w:t>. The professional accounting firm engaged by the Company for general tax purposes as of the day prior to the date of the event that might reasonably be anticipated to result in Payments that would otherwise be subject to the Excise Tax will perform the foregoing calculations. If the firm so engaged by the Company is serving as accountant or auditor for the acquiring company, the Company will appoint a nationally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recognized accounting firm to make the determinations required by Section 5.1. The Company will bear all expenses with respect to the determinations by such firm required to be made by Section 5.1. The Company and the Executive shall furnish such firm such information and documents as the firm may reasonably request to make its required determination. The firm will provide its calculations, together with detailed supporting documentation,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and the Executive as soon as practicable following its engagement. Any good faith determinations of the firm made hereunder will be final, binding and conclusive upon the Company and the Executive.</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The Company will be entitled to withhold from any amounts payable under this Agreement all taxes as it may believe are reasonably required to be withheld (including, without limitation, any United States federal taxes and any other state, city, local or foreign taxes).</w:t>
      </w:r>
    </w:p>
    <w:p>
      <w:pPr>
        <w:spacing w:after="0" w:line="15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Mandatory Deferral Rule</w:t>
      </w:r>
      <w:r>
        <w:rPr>
          <w:rFonts w:ascii="Times New Roman" w:cs="Times New Roman" w:eastAsia="Times New Roman" w:hAnsi="Times New Roman"/>
          <w:sz w:val="18"/>
          <w:szCs w:val="18"/>
          <w:color w:val="auto"/>
        </w:rPr>
        <w:t>. Notwithstanding any other provision of this Agreement to the contrary, any payment that constitutes the deferral of compensation (within the meaning of Treasury Regulation Section 1.409A-1(b)) that is otherwise required to be made to the Executive prior to the day after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date that is six (6) months from the Executive’s Separation from Service shall be accumulated, deferred and paid in a lump sum to the Executive (with interest on the amount deferred from the Executive’s Separation from Service until the day prior to the actual payment at the federal short-term rate on the date of the Executive’s Separation from Service) on the day after the date that is six (6) months from the date of the Executive’s Separation from Service;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provided, however, if Executive dies prior to the expiration of such six (6)-month period, payment to the Executive’s estate shall be made as soon as practicable following the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48" w:name="page149"/>
    <w:bookmarkEnd w:id="148"/>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8"/>
          <w:szCs w:val="18"/>
          <w:b w:val="1"/>
          <w:bCs w:val="1"/>
          <w:color w:val="auto"/>
        </w:rPr>
        <w:t>No Mitigation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will not be obligated to seek other employment in mitigation of the amounts payable made under any provision of this Agreement, and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obtaining of any such other employment will in no event effect any reduction of the Company’s obligations to make the payments required to be made under this Agreement. Notwithstanding anything in this Agreement to the contrary, if the Severance Benefits are paid under this Agreement, no severance benefits under any program of the Company, other than benefits described in this Agreement, will be paid to the Executive.</w:t>
      </w:r>
    </w:p>
    <w:p>
      <w:pPr>
        <w:spacing w:after="0" w:line="16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8"/>
          <w:szCs w:val="18"/>
          <w:b w:val="1"/>
          <w:bCs w:val="1"/>
          <w:color w:val="auto"/>
        </w:rPr>
        <w:t>Relocation</w:t>
      </w:r>
    </w:p>
    <w:p>
      <w:pPr>
        <w:spacing w:after="0" w:line="189"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If the Executive is on an expatriate assignment under the Global Mobility Policy and a Qualifying CIC Termination or a Qualifying Non-CIC Termination occurs, then, notwithstanding anything in the Global Mobility Policy to the contrary, the Executive will be eligible for relocation benefits back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home country consistent with those provided under the Global Mobility Policy.</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8"/>
          <w:szCs w:val="18"/>
          <w:b w:val="1"/>
          <w:bCs w:val="1"/>
          <w:color w:val="auto"/>
        </w:rPr>
        <w:t>Outplacement Assistance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 Qualifying CIC Termination or a Qualifying Non-CIC Termination, the Executive will be reimbursed by the Company for the reasonable costs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outplacement services obtained by the Executive within the six (6)-month period after the Executive’s Separation from Service, upon receipt by the Company of documentation evidencing the actual cost of such services; provided, however, that reimbursements must be made by the end of the year following the year in which the Separation from Service occurs.</w:t>
      </w:r>
    </w:p>
    <w:p>
      <w:pPr>
        <w:spacing w:after="0" w:line="1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7"/>
          <w:szCs w:val="17"/>
          <w:b w:val="1"/>
          <w:bCs w:val="1"/>
          <w:color w:val="auto"/>
        </w:rPr>
        <w:t>Successors and Assignment</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Successors to the Company</w:t>
      </w:r>
      <w:r>
        <w:rPr>
          <w:rFonts w:ascii="Times New Roman" w:cs="Times New Roman" w:eastAsia="Times New Roman" w:hAnsi="Times New Roman"/>
          <w:sz w:val="18"/>
          <w:szCs w:val="18"/>
          <w:color w:val="auto"/>
        </w:rPr>
        <w:t>. The Company will require any successor (whether direct or indirect, by purchase, merger, consolidation, or otherwise) of all or substantially all of the business and/or assets of the Company to expressly assume and agree to perform the Company’s obligations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this Agreement in the same manner and to the same extent that the Company would be required to perform them if no such succession had taken place.</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Assignment by the Executive</w:t>
      </w:r>
      <w:r>
        <w:rPr>
          <w:rFonts w:ascii="Times New Roman" w:cs="Times New Roman" w:eastAsia="Times New Roman" w:hAnsi="Times New Roman"/>
          <w:sz w:val="18"/>
          <w:szCs w:val="18"/>
          <w:color w:val="auto"/>
        </w:rPr>
        <w:t>. This Agreement will inure to the benefit of and be enforceable by the Executive’s personal or legal representatives,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executors, administrators, successors, heirs, distributees, devisees, and legatees. If the Executive dies while any amount would still be payable to the Executive hereunder had the Executive survived, all such amounts, unless otherwise provided herein, will be paid to the Executive’s estate at the same time or times that such amounts would have been paid to the Executive hereunder had the Executive survived.</w:t>
      </w:r>
    </w:p>
    <w:p>
      <w:pPr>
        <w:spacing w:after="0" w:line="16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Employment Status</w:t>
      </w:r>
      <w:r>
        <w:rPr>
          <w:rFonts w:ascii="Times New Roman" w:cs="Times New Roman" w:eastAsia="Times New Roman" w:hAnsi="Times New Roman"/>
          <w:sz w:val="18"/>
          <w:szCs w:val="18"/>
          <w:color w:val="auto"/>
        </w:rPr>
        <w:t>. 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illegal or invalid for any reason, the illegality or invalidity will not affect the remaining parts of this Agreement, and this Agreement will be construed and enforced as if the illegal or invalid provision had not been included. Further, the captions of this Agreement are not part of the provisions hereof and will have no force and effect.</w:t>
      </w:r>
    </w:p>
    <w:p>
      <w:pPr>
        <w:spacing w:after="0" w:line="17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Applicable Law and Venue</w:t>
      </w:r>
      <w:r>
        <w:rPr>
          <w:rFonts w:ascii="Times New Roman" w:cs="Times New Roman" w:eastAsia="Times New Roman" w:hAnsi="Times New Roman"/>
          <w:sz w:val="18"/>
          <w:szCs w:val="18"/>
          <w:color w:val="auto"/>
        </w:rPr>
        <w:t>. To the extent not preempted by the laws of the United States, the laws of the State of Arizona will be the controlling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law in all matters relating to this Agreement, without regard to the conflicts of law principles of any jurisdiction. The Executive and the Company agree that any action to enforce or interpret this Agreement shall be brought exclusively in a federal or state court of competent jurisdiction in Maricopa County in the State of Arizona, and the Executive and the Company hereby waive any challenge to venue or exercise of jurisdiction of such courts.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The Executive Severance Agreement, dated as of November 15, 2022, by and between the Executive and the Company (the “Prior Agreement”) shall be superseded and replaced in its entirety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color w:val="auto"/>
        </w:rPr>
        <w:t>Agreement, and the Prior Agreement shall cease to have any further legal force or effect whatsoever upon the Effective Date.</w:t>
      </w:r>
    </w:p>
    <w:p>
      <w:pPr>
        <w:sectPr>
          <w:pgSz w:w="11900" w:h="16838" w:orient="portrait"/>
          <w:cols w:equalWidth="0" w:num="1">
            <w:col w:w="10139"/>
          </w:cols>
          <w:pgMar w:left="320" w:top="1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39"/>
          </w:cols>
          <w:pgMar w:left="320" w:top="1404" w:right="1440" w:bottom="1440" w:gutter="0" w:footer="0" w:header="0"/>
          <w:type w:val="continuous"/>
        </w:sectPr>
      </w:pPr>
    </w:p>
    <w:bookmarkStart w:id="150" w:name="page151"/>
    <w:bookmarkEnd w:id="150"/>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Effective Date.</w:t>
      </w:r>
    </w:p>
    <w:p>
      <w:pPr>
        <w:spacing w:after="0" w:line="200"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Amkor Technology, Inc.</w:t>
      </w:r>
      <w:r>
        <w:rPr>
          <w:sz w:val="20"/>
          <w:szCs w:val="20"/>
          <w:color w:val="auto"/>
        </w:rPr>
        <w:tab/>
      </w:r>
      <w:r>
        <w:rPr>
          <w:rFonts w:ascii="Times New Roman" w:cs="Times New Roman" w:eastAsia="Times New Roman" w:hAnsi="Times New Roman"/>
          <w:sz w:val="17"/>
          <w:szCs w:val="17"/>
          <w:color w:val="auto"/>
        </w:rPr>
        <w:t>Executive: Kevin Engel</w:t>
      </w:r>
    </w:p>
    <w:p>
      <w:pPr>
        <w:sectPr>
          <w:pgSz w:w="11900" w:h="16838" w:orient="portrait"/>
          <w:cols w:equalWidth="0" w:num="1">
            <w:col w:w="10139"/>
          </w:cols>
          <w:pgMar w:left="320" w:top="1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N. Rogers</w:t>
      </w:r>
    </w:p>
    <w:p>
      <w:pPr>
        <w:ind w:left="180"/>
        <w:spacing w:after="0" w:line="203" w:lineRule="auto"/>
        <w:rPr>
          <w:sz w:val="20"/>
          <w:szCs w:val="20"/>
          <w:color w:val="auto"/>
        </w:rPr>
      </w:pPr>
      <w:r>
        <w:rPr>
          <w:rFonts w:ascii="Times New Roman" w:cs="Times New Roman" w:eastAsia="Times New Roman" w:hAnsi="Times New Roman"/>
          <w:sz w:val="18"/>
          <w:szCs w:val="18"/>
          <w:color w:val="auto"/>
        </w:rPr>
        <w:t>Mark N. Rogers</w:t>
      </w:r>
    </w:p>
    <w:p>
      <w:pPr>
        <w:ind w:left="540"/>
        <w:spacing w:after="0"/>
        <w:rPr>
          <w:sz w:val="20"/>
          <w:szCs w:val="20"/>
          <w:color w:val="auto"/>
        </w:rPr>
      </w:pPr>
      <w:r>
        <w:rPr>
          <w:rFonts w:ascii="Times New Roman" w:cs="Times New Roman" w:eastAsia="Times New Roman" w:hAnsi="Times New Roman"/>
          <w:sz w:val="18"/>
          <w:szCs w:val="18"/>
          <w:color w:val="auto"/>
        </w:rPr>
        <w:t>Date: 2/13/2023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Kevin Engel</w:t>
      </w:r>
    </w:p>
    <w:p>
      <w:pPr>
        <w:spacing w:after="0" w:line="383" w:lineRule="exact"/>
        <w:rPr>
          <w:sz w:val="20"/>
          <w:szCs w:val="20"/>
          <w:color w:val="auto"/>
        </w:rPr>
      </w:pPr>
    </w:p>
    <w:p>
      <w:pPr>
        <w:sectPr>
          <w:pgSz w:w="11900" w:h="16838" w:orient="portrait"/>
          <w:cols w:equalWidth="0" w:num="2">
            <w:col w:w="1820" w:space="360"/>
            <w:col w:w="7959"/>
          </w:cols>
          <w:pgMar w:left="320" w:top="1400" w:right="1440" w:bottom="1440" w:gutter="0" w:footer="0" w:header="0"/>
          <w:type w:val="continuous"/>
        </w:sect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EVP, GC &amp; Corp Secty</w:t>
      </w:r>
    </w:p>
    <w:p>
      <w:pPr>
        <w:spacing w:after="0" w:line="18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2/13/2023</w:t>
      </w:r>
    </w:p>
    <w:p>
      <w:pPr>
        <w:sectPr>
          <w:pgSz w:w="11900" w:h="16838" w:orient="portrait"/>
          <w:cols w:equalWidth="0" w:num="1">
            <w:col w:w="10139"/>
          </w:cols>
          <w:pgMar w:left="320" w:top="1400" w:right="1440" w:bottom="1440"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is a very important document, and you should thoroughly review and understand the terms and effect of this document before signing it. By signing this General Release, you will be releasing Amkor Technology, Inc., a Delaware corporation (“Amkor”), and others from all liability to you. Therefore, you</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should consult with an attorney before signing this General Release. You have 53 days to consider this document. If you have not returned a signed copy of this General Release by that time, we will assume that you have elected not to sign this General Release. If you choose to sign this General Release, you will have an additional 7 days following the date of your signature to revoke this General Release and this General Release shall not become effective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until the revocation period has expired.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payments and benefits to which I would not otherwise be entitled provided to me by Amkor as set forth in my Executive Severance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dated February 13, 2023 (the “Severance Agreement”), and other good and valuable consideration to which I would not otherwise be entitled, I, Kevin Engel, on behalf of myself, my heirs, and my legal representatives and assigns, and anyone else claiming by, through, under or in concert with any of the foregoing, release (i.e., give up) and forever discharge Amkor and its current, former and future subsidiaries, their respective current, former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future, direct and indirect owners, officers, directors, employees, agents, successors, predecessors, assigns and affiliates, as well as their respective employee benefit plans (and any administrators, insurers, or fiduciaries thereof), and all persons acting by, through, under, or in concert with any of them (collectively, the “Released Parties”), from any and all known and unknown claims, demands, actions, causes of action, rights, damages, costs, expenses,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wages, vacation pay, sick or paid time off, or commissions, whether arising in contract, common law, statute or otherwise, whether foreign or domestic, whether local, state, or federal, including without limitation: Title VII of the Civil Rights Act of 1964, as amended, 42 U.S.C. § 2000e, et seq.; Sections 1981 and 1983 of the Civil Rights Act of 1866, as amended; the Age Discrimination in Employment Act (ADEA), as amended, 29 U.S.C. § 621,</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et seq.; the Employee Retirement Income Security Act of 1974 (ERISA), as amended, 29 U.S.C. § 1001, et seq.; the Americans with Disabilities Act of 1990 (ADA), as amended, 42 U.S.C. § 12101, et seq.; the Family and Medical Leave Act (FMLA), as amended, 29 U.S.C. § 2601, et seq.; the Worker Adjustment &amp; Retraining Notification Act (WARN Act), as amended; and any similar or foreign or domestic or state or local laws, such as the Arizona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Civil Rights Act and the Arizona Equal Pay Law, that I now have, or which were or could have been made, on account of my service with Amkor or any of its subsidiaries or affiliates, including my separation therefrom and any transaction or occurrence between me and the Released Parties at any time during such service and after separation up to the time I execute this General Release. I agree that I have waived all claims against the Released Parties except (i)</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respect of any obligation of Amkor arising under my Severance Agreement, (ii) vested benefits under any of Amkor’s employee benefit plans in which I participate, (iii) in respect of equity awards (including any options, RSUs, restricted stock, or any other form of equity) that I have been granted pursuant to the Amkor Technology, Inc. Second Amended and Restated 2007 Equity Incentive Plan and the Amkor Technology, Inc. 2021 Equity Incentive Plan, (iv)</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rights to indemnification under Amkor’s directors’ and officers’ insurance coverage for acts performed or omissions while I was an employee or officer of Amkor, and (v) those claims that as a matter of law are not waivable by an employee against an employee’s employer. It is my intention that the language relating to the description of claims in this paragraph shall be given the broadest possible interpretation permitted by law.</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 further agree that I will not file, cause to be filed, join, or accept any relief in any lawsuit (either individually, with others, or as part of a class) pleading, raising, or asserting any claims released in this General Release. If I breach this promise, then I will reimburse each of the Released Parties for the Released Party’s attorneys’ fees and costs (or the applicable proportions thereof) incurred in defending against any such released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General Release shall be construed to prohibit me from filing a charge with or participating in an investigation or proceeding conducted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Equal Employment Opportunity Commission (EEOC), National Labor Relations Board (NLRB), Securities and Exchange Commission (SEC), or any federal, state, or local agency. I understand that I have waived and released any and all claims for money damages and equitable relief that I may recover from the Released Parties pursuant to the filing or prosecution of any administrative charge against the Released Parties by me, or any resulting civil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proceeding or lawsuit brought on my behalf for the recovery of such relief, and which arises out of the matters that are and may be released or waived by this General Release. I also understand, however, that this General Release does not limit my ability to communicate with any government agencies or otherwise participate in any investigation or proceeding that may be conducted by any government agency, including providing documents or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information, without notice to Amkor. This General Release also does not limit my right to receive an award for information provided to any government agency. I acknowledge that</w:t>
      </w:r>
    </w:p>
    <w:p>
      <w:pPr>
        <w:sectPr>
          <w:pgSz w:w="11900" w:h="16838" w:orient="portrait"/>
          <w:cols w:equalWidth="0" w:num="1">
            <w:col w:w="11240"/>
          </w:cols>
          <w:pgMar w:left="320" w:top="1400" w:right="339" w:bottom="1440" w:gutter="0" w:footer="0" w:header="0"/>
        </w:sectPr>
      </w:pPr>
    </w:p>
    <w:bookmarkStart w:id="152" w:name="page153"/>
    <w:bookmarkEnd w:id="152"/>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prohibits me or Amkor or any person or entity from (i) reporting possible violation of federal law or regulation to any governmental agency or entity or self-regulatory organization or making disclosures that are protected under the whistleblower provisions of federal law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 (ii) supplying truthful information to any governmental authority or in response to any lawful subpoena or other legal process.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Nothing in this General Release shall be interpreted or applied to affect or limit my otherwise lawful ability to challenge, under the Age Discrimination in Employment Act (ADEA) or Older Worker Benefit Protection Act (OWBPA), the knowing and voluntary nature of my release of any age claims in this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General Release before a court, the EEOC, or any other federal, state, or local agency, and I shall not be required to pay the attorneys’ fees or costs of any Released Party in connection with such challenge. Notwithstanding the foregoing, unless the release is set aside by a court of law, I understand that this General Release applies to and covers any claim that I may have under the ADEA and OWBPA.</w:t>
      </w:r>
    </w:p>
    <w:p>
      <w:pPr>
        <w:spacing w:after="0" w:line="19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Except as set forth in this General Release, I understand, acknowledge, and voluntarily agree that this General Release is a total and complete release by me of any and all claims which I have against the Released Parties as of the date I sign this Agreement, both known or unknown, even though there may be facts or consequences of facts which are unknown to me.</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By signing below, I acknowledge that I have carefully read and fully understand the provisions of this General Release. I further acknowledge that I am signing this General Release knowingly and voluntarily and without duress, coercion or undue influence. This General Release constitutes the total and complete understanding between me and the Released Parties relating to the subject matter covered by this General Release, and all other prior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contemporaneous written or oral agreements or representations, if any, relating to the subject matter covered by this General Release are null and void. Neither the Released Parties nor their respective agents, representatives or attorneys have made any representations to me concerning the terms or effects of this General Release other than those contained herein. It is also expressly understood and agreed that the terms of this General Release may not be altered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in a writing signed by both me and Amkor.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53" w:name="page154"/>
    <w:bookmarkEnd w:id="153"/>
    <w:p>
      <w:pPr>
        <w:ind w:right="20"/>
        <w:spacing w:after="0" w:line="224" w:lineRule="auto"/>
        <w:rPr>
          <w:sz w:val="20"/>
          <w:szCs w:val="20"/>
          <w:color w:val="auto"/>
        </w:rPr>
      </w:pPr>
      <w:r>
        <w:rPr>
          <w:rFonts w:ascii="Times New Roman" w:cs="Times New Roman" w:eastAsia="Times New Roman" w:hAnsi="Times New Roman"/>
          <w:sz w:val="18"/>
          <w:szCs w:val="18"/>
          <w:i w:val="1"/>
          <w:iCs w:val="1"/>
          <w:color w:val="auto"/>
        </w:rPr>
        <w:t>I agree and acknowledge that I have carefully read and understand this General Release, including the Section labeled “Notice” on the top of the first page; that I understand, in particular that I am agreeing to release all legal claims against the Released Parties, including, without limitation, Amkor; that</w:t>
      </w:r>
    </w:p>
    <w:p>
      <w:pPr>
        <w:spacing w:after="0" w:line="226" w:lineRule="auto"/>
        <w:rPr>
          <w:sz w:val="20"/>
          <w:szCs w:val="20"/>
          <w:color w:val="auto"/>
        </w:rPr>
      </w:pPr>
      <w:r>
        <w:rPr>
          <w:rFonts w:ascii="Times New Roman" w:cs="Times New Roman" w:eastAsia="Times New Roman" w:hAnsi="Times New Roman"/>
          <w:sz w:val="18"/>
          <w:szCs w:val="18"/>
          <w:i w:val="1"/>
          <w:iCs w:val="1"/>
          <w:color w:val="auto"/>
        </w:rPr>
        <w:t>I sign this General Release knowingly and voluntarily; that I have been advised to consult with an attorney before signing it; and that this General Release shall not be subject to claims of fraud, duress and/or mistake.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INTENDING TO BE LEGALLY BOUND, I hereby set my hand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ectPr>
          <w:pgSz w:w="11900" w:h="16838" w:orient="portrait"/>
          <w:cols w:equalWidth="0" w:num="1">
            <w:col w:w="11240"/>
          </w:cols>
          <w:pgMar w:left="320" w:top="1402" w:right="3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2" w:lineRule="exact"/>
        <w:rPr>
          <w:sz w:val="20"/>
          <w:szCs w:val="20"/>
          <w:color w:val="auto"/>
        </w:rPr>
      </w:pPr>
    </w:p>
    <w:p>
      <w:pPr>
        <w:sectPr>
          <w:pgSz w:w="11900" w:h="16838" w:orient="portrait"/>
          <w:cols w:equalWidth="0" w:num="2">
            <w:col w:w="2260" w:space="720"/>
            <w:col w:w="8260"/>
          </w:cols>
          <w:pgMar w:left="320" w:top="1402" w:right="339" w:bottom="1440" w:gutter="0" w:footer="0" w:header="0"/>
          <w:type w:val="continuous"/>
        </w:sectPr>
      </w:pPr>
    </w:p>
    <w:p>
      <w:pPr>
        <w:spacing w:after="0" w:line="235" w:lineRule="auto"/>
        <w:rPr>
          <w:sz w:val="20"/>
          <w:szCs w:val="20"/>
          <w:color w:val="auto"/>
        </w:rPr>
      </w:pPr>
      <w:r>
        <w:rPr>
          <w:rFonts w:ascii="Times New Roman" w:cs="Times New Roman" w:eastAsia="Times New Roman" w:hAnsi="Times New Roman"/>
          <w:sz w:val="18"/>
          <w:szCs w:val="18"/>
          <w:color w:val="auto"/>
        </w:rPr>
        <w:t>Kevin Engel</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1460" w:space="720"/>
            <w:col w:w="9060"/>
          </w:cols>
          <w:pgMar w:left="320" w:top="1402"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WITNESSED BY:</w:t>
      </w:r>
    </w:p>
    <w:p>
      <w:pPr>
        <w:sectPr>
          <w:pgSz w:w="11900" w:h="16838" w:orient="portrait"/>
          <w:cols w:equalWidth="0" w:num="1">
            <w:col w:w="11240"/>
          </w:cols>
          <w:pgMar w:left="320" w:top="1402"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20" w:lineRule="exact"/>
        <w:rPr>
          <w:sz w:val="20"/>
          <w:szCs w:val="20"/>
          <w:color w:val="auto"/>
        </w:rPr>
      </w:pPr>
    </w:p>
    <w:p>
      <w:pPr>
        <w:sectPr>
          <w:pgSz w:w="11900" w:h="16838" w:orient="portrait"/>
          <w:cols w:equalWidth="0" w:num="2">
            <w:col w:w="2260" w:space="720"/>
            <w:col w:w="8260"/>
          </w:cols>
          <w:pgMar w:left="320" w:top="140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2">
            <w:col w:w="1640" w:space="720"/>
            <w:col w:w="8880"/>
          </w:cols>
          <w:pgMar w:left="320" w:top="1402" w:right="339" w:bottom="1440" w:gutter="0" w:footer="0" w:header="0"/>
          <w:type w:val="continuous"/>
        </w:sectPr>
      </w:pPr>
    </w:p>
    <w:bookmarkStart w:id="154" w:name="page155"/>
    <w:bookmarkEnd w:id="154"/>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Employment Agreement</w:t>
      </w:r>
    </w:p>
    <w:p>
      <w:pPr>
        <w:spacing w:after="0" w:line="308"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8"/>
          <w:szCs w:val="18"/>
          <w:color w:val="auto"/>
        </w:rPr>
        <w:t xml:space="preserve">This employment agreement defines the compensation, term of agreement, and others for Steve Shin (hereinafter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executive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carrying out the responsibility delegated by Amkor Technology Korea, Inc. (hereinafter,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360" w:hanging="252"/>
        <w:spacing w:after="0"/>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of Agreement : January 1, 2023 ~ Dec 31, 2023 (1 Year)</w:t>
      </w:r>
    </w:p>
    <w:p>
      <w:pPr>
        <w:spacing w:after="0" w:line="27" w:lineRule="exact"/>
        <w:rPr>
          <w:rFonts w:ascii="Times New Roman" w:cs="Times New Roman" w:eastAsia="Times New Roman" w:hAnsi="Times New Roman"/>
          <w:sz w:val="18"/>
          <w:szCs w:val="18"/>
          <w:color w:val="auto"/>
        </w:rPr>
      </w:pPr>
    </w:p>
    <w:p>
      <w:pPr>
        <w:ind w:left="740" w:hanging="308"/>
        <w:spacing w:after="0"/>
        <w:tabs>
          <w:tab w:leader="none" w:pos="740" w:val="left"/>
        </w:tabs>
        <w:numPr>
          <w:ilvl w:val="1"/>
          <w:numId w:val="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Employment will be duly terminated upon the expiration of term of agreement</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73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Job  : AWW MFG Head (Executive Vice President)</w:t>
            </w:r>
          </w:p>
        </w:tc>
      </w:tr>
      <w:tr>
        <w:trPr>
          <w:trHeight w:val="39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1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Annual Salary of 420,000,000 KRW (Monthly 35,000,000 KRW)</w:t>
            </w:r>
          </w:p>
        </w:tc>
      </w:tr>
      <w:tr>
        <w:trPr>
          <w:trHeight w:val="20"/>
        </w:trPr>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Severance Pay</w:t>
            </w:r>
          </w:p>
        </w:tc>
        <w:tc>
          <w:tcPr>
            <w:tcW w:w="6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 Severance pay is entitled according to the Executive Severance Payout Regulation</w:t>
            </w:r>
          </w:p>
        </w:tc>
      </w:tr>
    </w:tbl>
    <w:p>
      <w:pPr>
        <w:spacing w:after="0" w:line="76" w:lineRule="exact"/>
        <w:rPr>
          <w:sz w:val="20"/>
          <w:szCs w:val="20"/>
          <w:color w:val="auto"/>
        </w:rPr>
      </w:pPr>
    </w:p>
    <w:p>
      <w:pPr>
        <w:ind w:left="360" w:hanging="25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Responsibility of Executive</w:t>
      </w:r>
    </w:p>
    <w:p>
      <w:pPr>
        <w:spacing w:after="0" w:line="63" w:lineRule="exact"/>
        <w:rPr>
          <w:rFonts w:ascii="Times New Roman" w:cs="Times New Roman" w:eastAsia="Times New Roman" w:hAnsi="Times New Roman"/>
          <w:sz w:val="18"/>
          <w:szCs w:val="18"/>
          <w:color w:val="auto"/>
        </w:rPr>
      </w:pPr>
    </w:p>
    <w:p>
      <w:pPr>
        <w:jc w:val="both"/>
        <w:ind w:left="760" w:right="100" w:hanging="327"/>
        <w:spacing w:after="0" w:line="307" w:lineRule="auto"/>
        <w:tabs>
          <w:tab w:leader="none" w:pos="752" w:val="left"/>
        </w:tabs>
        <w:numPr>
          <w:ilvl w:val="2"/>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executive shall perform, in his full capacity, to achieve the company’s business objectives and mutually agree that the company shall have the right to terminate executive’s contract immediately on account of poor business performance, dishonest or unlawful behavior unfavorable in the company’s interest and in violation of code of conduct, discontinuation of position, necessity in business, retirement by age, and any other reasons that deem the executive inappropriate to provide service for the company.</w:t>
      </w:r>
    </w:p>
    <w:p>
      <w:pPr>
        <w:spacing w:after="0" w:line="20" w:lineRule="exact"/>
        <w:rPr>
          <w:rFonts w:ascii="Times New Roman" w:cs="Times New Roman" w:eastAsia="Times New Roman" w:hAnsi="Times New Roman"/>
          <w:sz w:val="18"/>
          <w:szCs w:val="18"/>
          <w:i w:val="1"/>
          <w:iCs w:val="1"/>
          <w:color w:val="auto"/>
        </w:rPr>
      </w:pPr>
    </w:p>
    <w:p>
      <w:pPr>
        <w:ind w:left="700" w:hanging="308"/>
        <w:spacing w:after="0"/>
        <w:tabs>
          <w:tab w:leader="none" w:pos="700" w:val="left"/>
        </w:tabs>
        <w:numPr>
          <w:ilvl w:val="1"/>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executive shall agree to reimburse double amount of annual salary paid out by the company if the executive signs employment contract with</w:t>
      </w:r>
    </w:p>
    <w:p>
      <w:pPr>
        <w:spacing w:after="0" w:line="49" w:lineRule="exact"/>
        <w:rPr>
          <w:rFonts w:ascii="Times New Roman" w:cs="Times New Roman" w:eastAsia="Times New Roman" w:hAnsi="Times New Roman"/>
          <w:sz w:val="18"/>
          <w:szCs w:val="18"/>
          <w:i w:val="1"/>
          <w:iCs w:val="1"/>
          <w:color w:val="auto"/>
        </w:rPr>
      </w:pPr>
    </w:p>
    <w:p>
      <w:pPr>
        <w:jc w:val="both"/>
        <w:ind w:left="720" w:right="100"/>
        <w:spacing w:after="0" w:line="28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competitors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or have a cooperative relationship (advisor, etc.) with the competitor, or provide service in related business, or joins a client or partner company that has or has been in business with the company. without the company's consent, within one year of separation from the company.</w:t>
      </w:r>
    </w:p>
    <w:p>
      <w:pPr>
        <w:spacing w:after="0" w:line="29" w:lineRule="exact"/>
        <w:rPr>
          <w:rFonts w:ascii="Times New Roman" w:cs="Times New Roman" w:eastAsia="Times New Roman" w:hAnsi="Times New Roman"/>
          <w:sz w:val="18"/>
          <w:szCs w:val="18"/>
          <w:i w:val="1"/>
          <w:iCs w:val="1"/>
          <w:color w:val="auto"/>
        </w:rPr>
      </w:pPr>
    </w:p>
    <w:p>
      <w:pPr>
        <w:ind w:left="720" w:right="120" w:hanging="328"/>
        <w:spacing w:after="0" w:line="313" w:lineRule="auto"/>
        <w:tabs>
          <w:tab w:leader="none" w:pos="712" w:val="left"/>
        </w:tabs>
        <w:numPr>
          <w:ilvl w:val="1"/>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executive shall not disclose the content of this agreement, including salary and such information, and agree that the company shall have the right to terminate the executive’s contract when in violation of terms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6" w:lineRule="exact"/>
        <w:rPr>
          <w:sz w:val="20"/>
          <w:szCs w:val="20"/>
          <w:color w:val="auto"/>
        </w:rPr>
      </w:pPr>
    </w:p>
    <w:p>
      <w:pPr>
        <w:ind w:left="120" w:hanging="112"/>
        <w:spacing w:after="0"/>
        <w:tabs>
          <w:tab w:leader="none" w:pos="120" w:val="left"/>
        </w:tabs>
        <w:numPr>
          <w:ilvl w:val="0"/>
          <w:numId w:val="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Confidential information has been omitted from the filed version of this exhibit.</w:t>
      </w:r>
    </w:p>
    <w:p>
      <w:pPr>
        <w:sectPr>
          <w:pgSz w:w="11900" w:h="16838" w:orient="portrait"/>
          <w:cols w:equalWidth="0" w:num="1">
            <w:col w:w="11240"/>
          </w:cols>
          <w:pgMar w:left="320" w:top="34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Others</w:t>
      </w:r>
    </w:p>
    <w:p>
      <w:pPr>
        <w:spacing w:after="0" w:line="90" w:lineRule="exact"/>
        <w:rPr>
          <w:sz w:val="20"/>
          <w:szCs w:val="20"/>
          <w:color w:val="auto"/>
        </w:rPr>
      </w:pPr>
    </w:p>
    <w:p>
      <w:pPr>
        <w:ind w:left="760" w:hanging="327"/>
        <w:spacing w:after="0" w:line="327" w:lineRule="auto"/>
        <w:tabs>
          <w:tab w:leader="none" w:pos="752"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terms not set in this agreement will follow Executive Management Regulation and related regulations set by the company, and the signed agreement will be provided to each party.</w:t>
      </w:r>
    </w:p>
    <w:p>
      <w:pPr>
        <w:spacing w:after="0" w:line="2" w:lineRule="exact"/>
        <w:rPr>
          <w:rFonts w:ascii="Times New Roman" w:cs="Times New Roman" w:eastAsia="Times New Roman" w:hAnsi="Times New Roman"/>
          <w:sz w:val="18"/>
          <w:szCs w:val="18"/>
          <w:i w:val="1"/>
          <w:iCs w:val="1"/>
          <w:color w:val="auto"/>
        </w:rPr>
      </w:pPr>
    </w:p>
    <w:p>
      <w:pPr>
        <w:ind w:left="740" w:hanging="307"/>
        <w:spacing w:after="0"/>
        <w:tabs>
          <w:tab w:leader="none" w:pos="740"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executive confirms that this agreement has been signed by his or her free will without any coercion or mistake.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 </w:t>
      </w:r>
      <w:r>
        <w:rPr>
          <w:rFonts w:ascii="Times New Roman" w:cs="Times New Roman" w:eastAsia="Times New Roman" w:hAnsi="Times New Roman"/>
          <w:sz w:val="18"/>
          <w:szCs w:val="18"/>
          <w:u w:val="single" w:color="auto"/>
          <w:color w:val="auto"/>
        </w:rPr>
        <w:t>December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150, Songdomirae-ro, Yeonsu-gu, Incheon Amkor Technology Korea, Inc.</w:t>
      </w:r>
    </w:p>
    <w:p>
      <w:pPr>
        <w:spacing w:after="0" w:line="36" w:lineRule="exact"/>
        <w:rPr>
          <w:sz w:val="20"/>
          <w:szCs w:val="20"/>
          <w:color w:val="auto"/>
        </w:rPr>
      </w:pPr>
    </w:p>
    <w:p>
      <w:pPr>
        <w:ind w:left="700"/>
        <w:spacing w:after="0"/>
        <w:tabs>
          <w:tab w:leader="none" w:pos="1540" w:val="left"/>
          <w:tab w:leader="none" w:pos="2700" w:val="left"/>
        </w:tabs>
        <w:rPr>
          <w:sz w:val="20"/>
          <w:szCs w:val="20"/>
          <w:color w:val="auto"/>
        </w:rPr>
      </w:pPr>
      <w:r>
        <w:rPr>
          <w:rFonts w:ascii="Times New Roman" w:cs="Times New Roman" w:eastAsia="Times New Roman" w:hAnsi="Times New Roman"/>
          <w:sz w:val="18"/>
          <w:szCs w:val="18"/>
          <w:color w:val="auto"/>
        </w:rPr>
        <w:t>President</w:t>
        <w:tab/>
        <w:t>/s/ JongRip Ji</w:t>
      </w:r>
      <w:r>
        <w:rPr>
          <w:sz w:val="20"/>
          <w:szCs w:val="20"/>
          <w:color w:val="auto"/>
        </w:rPr>
        <w:tab/>
      </w:r>
      <w:r>
        <w:rPr>
          <w:rFonts w:ascii="Times New Roman" w:cs="Times New Roman" w:eastAsia="Times New Roman" w:hAnsi="Times New Roman"/>
          <w:sz w:val="17"/>
          <w:szCs w:val="17"/>
          <w:color w:val="auto"/>
        </w:rPr>
        <w:t>(Signature / Seal)</w:t>
      </w:r>
    </w:p>
    <w:p>
      <w:pPr>
        <w:spacing w:after="0" w:line="3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Address : [●]</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Resident Registration Number : [●]</w:t>
      </w:r>
    </w:p>
    <w:p>
      <w:pPr>
        <w:spacing w:after="0" w:line="104" w:lineRule="exact"/>
        <w:rPr>
          <w:sz w:val="20"/>
          <w:szCs w:val="20"/>
          <w:color w:val="auto"/>
        </w:rPr>
      </w:pPr>
    </w:p>
    <w:p>
      <w:pPr>
        <w:ind w:left="700"/>
        <w:spacing w:after="0"/>
        <w:tabs>
          <w:tab w:leader="none" w:pos="2400" w:val="left"/>
        </w:tabs>
        <w:rPr>
          <w:sz w:val="20"/>
          <w:szCs w:val="20"/>
          <w:color w:val="auto"/>
        </w:rPr>
      </w:pPr>
      <w:r>
        <w:rPr>
          <w:rFonts w:ascii="Times New Roman" w:cs="Times New Roman" w:eastAsia="Times New Roman" w:hAnsi="Times New Roman"/>
          <w:sz w:val="18"/>
          <w:szCs w:val="18"/>
          <w:color w:val="auto"/>
        </w:rPr>
        <w:t>Name : /s/ Sung Shin</w:t>
      </w:r>
      <w:r>
        <w:rPr>
          <w:sz w:val="20"/>
          <w:szCs w:val="20"/>
          <w:color w:val="auto"/>
        </w:rPr>
        <w:tab/>
      </w:r>
      <w:r>
        <w:rPr>
          <w:rFonts w:ascii="Times New Roman" w:cs="Times New Roman" w:eastAsia="Times New Roman" w:hAnsi="Times New Roman"/>
          <w:sz w:val="17"/>
          <w:szCs w:val="17"/>
          <w:color w:val="auto"/>
        </w:rPr>
        <w:t>(Signature / Seal)</w:t>
      </w:r>
    </w:p>
    <w:p>
      <w:pPr>
        <w:sectPr>
          <w:pgSz w:w="11900" w:h="16838" w:orient="portrait"/>
          <w:cols w:equalWidth="0" w:num="1">
            <w:col w:w="11120"/>
          </w:cols>
          <w:pgMar w:left="320" w:top="1053" w:right="45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553"/>
        </w:trPr>
        <w:tc>
          <w:tcPr>
            <w:tcW w:w="832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AMKOR TECHNOLOGY, INC.</w:t>
            </w:r>
          </w:p>
        </w:tc>
        <w:tc>
          <w:tcPr>
            <w:tcW w:w="2920" w:type="dxa"/>
            <w:vAlign w:val="bottom"/>
          </w:tcPr>
          <w:p>
            <w:pPr>
              <w:spacing w:after="0"/>
              <w:rPr>
                <w:sz w:val="24"/>
                <w:szCs w:val="24"/>
                <w:color w:val="auto"/>
              </w:rPr>
            </w:pPr>
          </w:p>
        </w:tc>
      </w:tr>
      <w:tr>
        <w:trPr>
          <w:trHeight w:val="351"/>
        </w:trPr>
        <w:tc>
          <w:tcPr>
            <w:tcW w:w="8320" w:type="dxa"/>
            <w:vAlign w:val="bottom"/>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2920" w:type="dxa"/>
            <w:vAlign w:val="bottom"/>
          </w:tcPr>
          <w:p>
            <w:pPr>
              <w:spacing w:after="0"/>
              <w:rPr>
                <w:sz w:val="24"/>
                <w:szCs w:val="24"/>
                <w:color w:val="auto"/>
              </w:rPr>
            </w:pPr>
          </w:p>
        </w:tc>
      </w:tr>
      <w:tr>
        <w:trPr>
          <w:trHeight w:val="28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8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9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Advanced Technology Taiwan,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Euroservices, S.A.S.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Holding, B.V.</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Holding, B.V., Germany (A Branch of a Netherlands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Limited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Malaysia Sdn. Bhd.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Philippines, Inc. (A Branch of a Singapore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Investment Pte.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Holding Pte.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Holding Pte. Ltd., Taiwan Branch (A Branch of a Singapore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Taiwan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Vietnam Limited Liability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Worldwide Services LLC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Worldwide Services LLC - ROHQ (A Branch of a United States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ATEP - Amkor Technology Portugal, S.A.</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Guardian Assets,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125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56"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333-149376 and 333-256241) and Form S-3 (No. 333-255655) of Amkor Technology, Inc. of our report dated February 22, 2023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ectPr>
          <w:pgSz w:w="11900" w:h="16838" w:orient="portrait"/>
          <w:cols w:equalWidth="0" w:num="1">
            <w:col w:w="11240"/>
          </w:cols>
          <w:pgMar w:left="320" w:top="125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212" w:lineRule="exact"/>
        <w:rPr>
          <w:sz w:val="20"/>
          <w:szCs w:val="20"/>
          <w:color w:val="auto"/>
        </w:rPr>
      </w:pPr>
    </w:p>
    <w:p>
      <w:pPr>
        <w:ind w:left="520" w:hanging="188"/>
        <w:spacing w:after="0"/>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Amkor Technology, Inc.;</w:t>
      </w:r>
    </w:p>
    <w:p>
      <w:pPr>
        <w:spacing w:after="0" w:line="211"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2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3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2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ind w:left="660" w:hanging="166"/>
        <w:spacing w:after="0" w:line="282" w:lineRule="auto"/>
        <w:tabs>
          <w:tab w:leader="none" w:pos="72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1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8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9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Guillaume Marie Jean Rutten</w:t>
      </w:r>
    </w:p>
    <w:p>
      <w:pPr>
        <w:spacing w:after="0" w:line="75" w:lineRule="exact"/>
        <w:rPr>
          <w:sz w:val="20"/>
          <w:szCs w:val="20"/>
          <w:color w:val="auto"/>
        </w:rPr>
      </w:pPr>
    </w:p>
    <w:p>
      <w:pPr>
        <w:sectPr>
          <w:pgSz w:w="11900" w:h="16838" w:orient="portrait"/>
          <w:cols w:equalWidth="0" w:num="2">
            <w:col w:w="6840" w:space="52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74" w:lineRule="exact"/>
        <w:rPr>
          <w:sz w:val="20"/>
          <w:szCs w:val="20"/>
          <w:color w:val="auto"/>
        </w:rPr>
      </w:pPr>
    </w:p>
    <w:p>
      <w:pPr>
        <w:sectPr>
          <w:pgSz w:w="11900" w:h="16838" w:orient="portrait"/>
          <w:cols w:equalWidth="0" w:num="2">
            <w:col w:w="6980" w:space="38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22, 2023</w:t>
      </w:r>
    </w:p>
    <w:p>
      <w:pPr>
        <w:sectPr>
          <w:pgSz w:w="11900" w:h="16838" w:orient="portrait"/>
          <w:cols w:equalWidth="0" w:num="2">
            <w:col w:w="6980" w:space="380"/>
            <w:col w:w="3880"/>
          </w:cols>
          <w:pgMar w:left="320" w:top="1251" w:right="339" w:bottom="1440" w:gutter="0" w:footer="0" w:header="0"/>
          <w:type w:val="continuous"/>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212" w:lineRule="exact"/>
        <w:rPr>
          <w:sz w:val="20"/>
          <w:szCs w:val="20"/>
          <w:color w:val="auto"/>
        </w:rPr>
      </w:pPr>
    </w:p>
    <w:p>
      <w:pPr>
        <w:ind w:left="520" w:hanging="188"/>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Amkor Technology, Inc.;</w:t>
      </w:r>
    </w:p>
    <w:p>
      <w:pPr>
        <w:spacing w:after="0" w:line="211"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2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2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ind w:left="660" w:hanging="166"/>
        <w:spacing w:after="0" w:line="282" w:lineRule="auto"/>
        <w:tabs>
          <w:tab w:leader="none" w:pos="72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1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8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9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1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Faust</w:t>
      </w:r>
    </w:p>
    <w:p>
      <w:pPr>
        <w:spacing w:after="0" w:line="63" w:lineRule="exact"/>
        <w:rPr>
          <w:sz w:val="20"/>
          <w:szCs w:val="20"/>
          <w:color w:val="auto"/>
        </w:rPr>
      </w:pPr>
    </w:p>
    <w:p>
      <w:pPr>
        <w:sectPr>
          <w:pgSz w:w="11900" w:h="16838" w:orient="portrait"/>
          <w:cols w:equalWidth="0" w:num="2">
            <w:col w:w="6840" w:space="52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w:t>
      </w:r>
    </w:p>
    <w:p>
      <w:pPr>
        <w:spacing w:after="0" w:line="74" w:lineRule="exact"/>
        <w:rPr>
          <w:sz w:val="20"/>
          <w:szCs w:val="20"/>
          <w:color w:val="auto"/>
        </w:rPr>
      </w:pPr>
    </w:p>
    <w:p>
      <w:pPr>
        <w:sectPr>
          <w:pgSz w:w="11900" w:h="16838" w:orient="portrait"/>
          <w:cols w:equalWidth="0" w:num="2">
            <w:col w:w="6980" w:space="380"/>
            <w:col w:w="3880"/>
          </w:cols>
          <w:pgMar w:left="320" w:top="1251" w:right="339" w:bottom="1440" w:gutter="0" w:footer="0" w:header="0"/>
          <w:type w:val="continuous"/>
        </w:sectPr>
      </w:pPr>
    </w:p>
    <w:p>
      <w:pPr>
        <w:ind w:left="736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ectPr>
          <w:pgSz w:w="11900" w:h="16838" w:orient="portrait"/>
          <w:cols w:equalWidth="0" w:num="1">
            <w:col w:w="11240"/>
          </w:cols>
          <w:pgMar w:left="320" w:top="1251" w:right="339" w:bottom="1440" w:gutter="0" w:footer="0" w:header="0"/>
          <w:type w:val="continuous"/>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ectPr>
          <w:pgSz w:w="11900" w:h="16838" w:orient="portrait"/>
          <w:cols w:equalWidth="0" w:num="2">
            <w:col w:w="6980" w:space="380"/>
            <w:col w:w="3880"/>
          </w:cols>
          <w:pgMar w:left="320" w:top="1251" w:right="33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Annual Report on Form 10-K for the year ended December 31, 2022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43" w:lineRule="exact"/>
        <w:rPr>
          <w:sz w:val="20"/>
          <w:szCs w:val="20"/>
          <w:color w:val="auto"/>
        </w:rPr>
      </w:pPr>
    </w:p>
    <w:tbl>
      <w:tblPr>
        <w:tblLayout w:type="fixed"/>
        <w:tblInd w:w="656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22, 2023</w:t>
            </w:r>
          </w:p>
        </w:tc>
      </w:tr>
      <w:tr>
        <w:trPr>
          <w:trHeight w:val="553"/>
        </w:trPr>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22, 2023</w:t>
            </w:r>
          </w:p>
        </w:tc>
      </w:tr>
    </w:tbl>
    <w:p>
      <w:pPr>
        <w:spacing w:after="0" w:line="1" w:lineRule="exact"/>
        <w:rPr>
          <w:sz w:val="20"/>
          <w:szCs w:val="20"/>
          <w:color w:val="auto"/>
        </w:rPr>
      </w:pP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1)"/>
      <w:numFmt w:val="decimal"/>
      <w:start w:val="14"/>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lowerLetter"/>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decimal"/>
      <w:start w:val="4"/>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decimal"/>
      <w:start w:val="3"/>
    </w:lvl>
  </w:abstractNum>
  <w:abstractNum w:abstractNumId="35">
    <w:nsid w:val="15B5AF5C"/>
    <w:multiLevelType w:val="hybridMultilevel"/>
    <w:lvl w:ilvl="0">
      <w:lvlJc w:val="left"/>
      <w:lvlText w:val="%1"/>
      <w:numFmt w:val="decimal"/>
      <w:start w:val="1"/>
    </w:lvl>
    <w:lvl w:ilvl="1">
      <w:lvlJc w:val="left"/>
      <w:lvlText w:val="(%2)"/>
      <w:numFmt w:val="decimal"/>
      <w:start w:val="1"/>
    </w:lvl>
  </w:abstractNum>
  <w:abstractNum w:abstractNumId="36">
    <w:nsid w:val="741226BB"/>
    <w:multiLevelType w:val="hybridMultilevel"/>
    <w:lvl w:ilvl="0">
      <w:lvlJc w:val="left"/>
      <w:lvlText w:val="%1."/>
      <w:numFmt w:val="decimal"/>
      <w:start w:val="15"/>
    </w:lvl>
    <w:lvl w:ilvl="1">
      <w:lvlJc w:val="left"/>
      <w:lvlText w:val="%2"/>
      <w:numFmt w:val="decimal"/>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2"/>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lowerLetter"/>
      <w:start w:val="1"/>
    </w:lvl>
  </w:abstractNum>
  <w:abstractNum w:abstractNumId="43">
    <w:nsid w:val="579BE4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2"/>
    </w:lvl>
  </w:abstractNum>
  <w:abstractNum w:abstractNumId="47">
    <w:nsid w:val="25A70BF7"/>
    <w:multiLevelType w:val="hybridMultilevel"/>
    <w:lvl w:ilvl="0">
      <w:lvlJc w:val="left"/>
      <w:lvlText w:val="(%1)"/>
      <w:numFmt w:val="lowerLetter"/>
      <w:start w:val="3"/>
    </w:lvl>
    <w:lvl w:ilvl="1">
      <w:lvlJc w:val="left"/>
      <w:lvlText w:val="(%2)"/>
      <w:numFmt w:val="lowerLetter"/>
      <w:start w:val="9"/>
    </w:lvl>
  </w:abstractNum>
  <w:abstractNum w:abstractNumId="48">
    <w:nsid w:val="1DBABF00"/>
    <w:multiLevelType w:val="hybridMultilevel"/>
    <w:lvl w:ilvl="0">
      <w:lvlJc w:val="left"/>
      <w:lvlText w:val="%1."/>
      <w:numFmt w:val="decimal"/>
      <w:start w:val="2"/>
    </w:lvl>
  </w:abstractNum>
  <w:abstractNum w:abstractNumId="49">
    <w:nsid w:val="4AD084E9"/>
    <w:multiLevelType w:val="hybridMultilevel"/>
    <w:lvl w:ilvl="0">
      <w:lvlJc w:val="left"/>
      <w:lvlText w:val="%1."/>
      <w:numFmt w:val="decimal"/>
      <w:start w:val="3"/>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decimal"/>
      <w:start w:val="1"/>
    </w:lvl>
    <w:lvl w:ilvl="1">
      <w:lvlJc w:val="left"/>
      <w:lvlText w:val="(%2)"/>
      <w:numFmt w:val="lowerLetter"/>
      <w:start w:val="3"/>
    </w:lvl>
  </w:abstractNum>
  <w:abstractNum w:abstractNumId="54">
    <w:nsid w:val="6590700B"/>
    <w:multiLevelType w:val="hybridMultilevel"/>
    <w:lvl w:ilvl="0">
      <w:lvlJc w:val="left"/>
      <w:lvlText w:val="(%1)"/>
      <w:numFmt w:val="decimal"/>
      <w:start w:val="18"/>
    </w:lvl>
    <w:lvl w:ilvl="1">
      <w:lvlJc w:val="left"/>
      <w:lvlText w:val="(%2)"/>
      <w:numFmt w:val="lowerLetter"/>
      <w:start w:val="5"/>
    </w:lvl>
  </w:abstractNum>
  <w:abstractNum w:abstractNumId="55">
    <w:nsid w:val="15014ACB"/>
    <w:multiLevelType w:val="hybridMultilevel"/>
    <w:lvl w:ilvl="0">
      <w:lvlJc w:val="left"/>
      <w:lvlText w:val="(%1)"/>
      <w:numFmt w:val="lowerRoman"/>
      <w:start w:val="1"/>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4"/>
    </w:lvl>
  </w:abstractNum>
  <w:abstractNum w:abstractNumId="60">
    <w:nsid w:val="42C296BD"/>
    <w:multiLevelType w:val="hybridMultilevel"/>
    <w:lvl w:ilvl="0">
      <w:lvlJc w:val="left"/>
      <w:lvlText w:val="(%1)"/>
      <w:numFmt w:val="lowerRoman"/>
      <w:start w:val="1"/>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4"/>
    </w:lvl>
  </w:abstractNum>
  <w:abstractNum w:abstractNumId="65">
    <w:nsid w:val="540A471C"/>
    <w:multiLevelType w:val="hybridMultilevel"/>
    <w:lvl w:ilvl="0">
      <w:lvlJc w:val="left"/>
      <w:lvlText w:val="(%1)"/>
      <w:numFmt w:val="lowerRoman"/>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4"/>
    </w:lvl>
  </w:abstractNum>
  <w:abstractNum w:abstractNumId="71">
    <w:nsid w:val="42963E5A"/>
    <w:multiLevelType w:val="hybridMultilevel"/>
    <w:lvl w:ilvl="0">
      <w:lvlJc w:val="left"/>
      <w:lvlText w:val="(%1)"/>
      <w:numFmt w:val="lowerRoman"/>
      <w:start w:val="1"/>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4"/>
    </w:lvl>
  </w:abstractNum>
  <w:abstractNum w:abstractNumId="76">
    <w:nsid w:val="68EB2F63"/>
    <w:multiLevelType w:val="hybridMultilevel"/>
    <w:lvl w:ilvl="0">
      <w:lvlJc w:val="left"/>
      <w:lvlText w:val="(%1)"/>
      <w:numFmt w:val="lowerRoman"/>
      <w:start w:val="1"/>
    </w:lvl>
  </w:abstractNum>
  <w:abstractNum w:abstractNumId="77">
    <w:nsid w:val="4962813B"/>
    <w:multiLevelType w:val="hybridMultilevel"/>
    <w:lvl w:ilvl="0">
      <w:lvlJc w:val="left"/>
      <w:lvlText w:val="%1."/>
      <w:numFmt w:val="decimal"/>
      <w:start w:val="1"/>
    </w:lvl>
    <w:lvl w:ilvl="1">
      <w:lvlJc w:val="left"/>
      <w:lvlText w:val="-"/>
      <w:numFmt w:val="bullet"/>
      <w:start w:val="1"/>
    </w:lvl>
  </w:abstractNum>
  <w:abstractNum w:abstractNumId="78">
    <w:nsid w:val="60B6DF70"/>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79">
    <w:nsid w:val="6A5EE64"/>
    <w:multiLevelType w:val="hybridMultilevel"/>
    <w:lvl w:ilvl="0">
      <w:lvlJc w:val="left"/>
      <w:lvlText w:val="1"/>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9" Type="http://schemas.openxmlformats.org/officeDocument/2006/relationships/image" Target="media/image108.png"/><Relationship Id="rId150" Type="http://schemas.openxmlformats.org/officeDocument/2006/relationships/image" Target="media/image109.png"/><Relationship Id="rId159"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15" Type="http://schemas.openxmlformats.org/officeDocument/2006/relationships/hyperlink" Target="http://www.sec.gov/Archives/edgar/data/1047127/000089322004001612/w99531exv2w3.txt" TargetMode="External"/><Relationship Id="rId116" Type="http://schemas.openxmlformats.org/officeDocument/2006/relationships/hyperlink" Target="http://www.sec.gov/Archives/edgar/data/1047127/0000891618-97-004025.txt" TargetMode="External"/><Relationship Id="rId117" Type="http://schemas.openxmlformats.org/officeDocument/2006/relationships/hyperlink" Target="http://www.sec.gov/Archives/edgar/data/1047127/0000891618-98-004062.txt" TargetMode="External"/><Relationship Id="rId118" Type="http://schemas.openxmlformats.org/officeDocument/2006/relationships/hyperlink" Target="http://www.sec.gov/Archives/edgar/data/1047127/000104712714000006/amkr123113ex33.htm" TargetMode="External"/><Relationship Id="rId119" Type="http://schemas.openxmlformats.org/officeDocument/2006/relationships/hyperlink" Target="http://www.sec.gov/Archives/edgar/data/1047127/0000891618-98-001449.txt" TargetMode="External"/><Relationship Id="rId120" Type="http://schemas.openxmlformats.org/officeDocument/2006/relationships/hyperlink" Target="http://www.sec.gov/Archives/edgar/data/1047127/000119312519076193/d712238dex41.htm" TargetMode="External"/><Relationship Id="rId121" Type="http://schemas.openxmlformats.org/officeDocument/2006/relationships/hyperlink" Target="http://www.sec.gov/Archives/edgar/data/1047127/000104712720000006/amkr123119ex43.htm" TargetMode="External"/><Relationship Id="rId122" Type="http://schemas.openxmlformats.org/officeDocument/2006/relationships/hyperlink" Target="http://www.sec.gov/Archives/edgar/data/1047127/000095015309000248/p14626exv10w1.htm" TargetMode="External"/><Relationship Id="rId123" Type="http://schemas.openxmlformats.org/officeDocument/2006/relationships/hyperlink" Target="http://www.sec.gov/Archives/edgar/data/1047127/000104712717000013/ex101ceoagreement.htm" TargetMode="External"/><Relationship Id="rId124" Type="http://schemas.openxmlformats.org/officeDocument/2006/relationships/hyperlink" Target="http://www.sec.gov/Archives/edgar/data/1047127/000104712717000023/amkr33117ex102.htm" TargetMode="External"/><Relationship Id="rId125" Type="http://schemas.openxmlformats.org/officeDocument/2006/relationships/hyperlink" Target="http://www.sec.gov/Archives/edgar/data/1047127/000104712717000023/amkr33117ex103.htm" TargetMode="External"/><Relationship Id="rId126" Type="http://schemas.openxmlformats.org/officeDocument/2006/relationships/hyperlink" Target="http://www.sec.gov/Archives/edgar/data/1047127/000104712717000023/amkr33117ex104.htm" TargetMode="External"/><Relationship Id="rId127" Type="http://schemas.openxmlformats.org/officeDocument/2006/relationships/hyperlink" Target="http://www.sec.gov/Archives/edgar/data/1047127/000104712717000025/amkorarequityplanexhibit10.htm" TargetMode="External"/><Relationship Id="rId128" Type="http://schemas.openxmlformats.org/officeDocument/2006/relationships/hyperlink" Target="http://www.sec.gov/Archives/edgar/data/1047127/000104712719000036/amkr63019ex103.htm" TargetMode="External"/><Relationship Id="rId130" Type="http://schemas.openxmlformats.org/officeDocument/2006/relationships/hyperlink" Target="http://www.sec.gov/Archives/edgar/data/1047127/000104712720000037/a101-amkorglobalformof.htm" TargetMode="External"/><Relationship Id="rId131" Type="http://schemas.openxmlformats.org/officeDocument/2006/relationships/hyperlink" Target="http://www.sec.gov/Archives/edgar/data/1047127/000104712720000037/a102-exhibitamkorxglob.htm" TargetMode="External"/><Relationship Id="rId132" Type="http://schemas.openxmlformats.org/officeDocument/2006/relationships/hyperlink" Target="http://www.sec.gov/Archives/edgar/data/1047127/000104712720000057/a101globalformofstocko.htm" TargetMode="External"/><Relationship Id="rId133" Type="http://schemas.openxmlformats.org/officeDocument/2006/relationships/hyperlink" Target="http://www.sec.gov/Archives/edgar/data/1047127/000104712720000057/a102globalformofrestri.htm" TargetMode="External"/><Relationship Id="rId134" Type="http://schemas.openxmlformats.org/officeDocument/2006/relationships/hyperlink" Target="http://www.sec.gov/Archives/edgar/data/1047127/000104712721000003/exhibit101-formofperforman.htm" TargetMode="External"/><Relationship Id="rId135" Type="http://schemas.openxmlformats.org/officeDocument/2006/relationships/hyperlink" Target="http://www.sec.gov/Archives/edgar/data/1047127/000104712721000003/exhibit102-formofrestricte.htm" TargetMode="External"/><Relationship Id="rId136" Type="http://schemas.openxmlformats.org/officeDocument/2006/relationships/hyperlink" Target="http://www.sec.gov/Archives/edgar/data/0001047127/000119312521167936/d182081dex101.htm" TargetMode="External"/><Relationship Id="rId137" Type="http://schemas.openxmlformats.org/officeDocument/2006/relationships/hyperlink" Target="https://www.sec.gov/Archives/edgar/data/1047127/000104712722000006/amkr123121ex1036.htm" TargetMode="External"/><Relationship Id="rId138" Type="http://schemas.openxmlformats.org/officeDocument/2006/relationships/hyperlink" Target="https://www.sec.gov/Archives/edgar/data/1047127/000119312521167936/d182081dex102.htm" TargetMode="External"/><Relationship Id="rId139" Type="http://schemas.openxmlformats.org/officeDocument/2006/relationships/hyperlink" Target="http://www.sec.gov/Archives/edgar/data/0001047127/000119312521167936/d182081dex103.htm" TargetMode="External"/><Relationship Id="rId140" Type="http://schemas.openxmlformats.org/officeDocument/2006/relationships/hyperlink" Target="http://www.sec.gov/Archives/edgar/data/0001047127/000119312521167936/d182081dex104.htm" TargetMode="External"/><Relationship Id="rId141" Type="http://schemas.openxmlformats.org/officeDocument/2006/relationships/hyperlink" Target="http://www.sec.gov/Archives/edgar/data/0001047127/000119312521167936/d182081dex105.htm" TargetMode="External"/><Relationship Id="rId142" Type="http://schemas.openxmlformats.org/officeDocument/2006/relationships/hyperlink" Target="http://www.sec.gov/Archives/edgar/data/0001047127/000119312521167936/d182081dex106.htm" TargetMode="External"/><Relationship Id="rId143" Type="http://schemas.openxmlformats.org/officeDocument/2006/relationships/hyperlink" Target="http://www.sec.gov/Archives/edgar/data/0001047127/000119312521167936/d182081dex107.htm" TargetMode="External"/><Relationship Id="rId144" Type="http://schemas.openxmlformats.org/officeDocument/2006/relationships/hyperlink" Target="https://www.sec.gov/Archives/edgar/data/1047127/000104712722000006/amkr123121ex1035.htm" TargetMode="External"/><Relationship Id="rId145" Type="http://schemas.openxmlformats.org/officeDocument/2006/relationships/hyperlink" Target="https://www.sec.gov/Archives/edgar/data/1047127/000104712722000025/amkr6302022ex101.htm" TargetMode="External"/><Relationship Id="rId146" Type="http://schemas.openxmlformats.org/officeDocument/2006/relationships/hyperlink" Target="http://www.sec.gov/Archives/edgar/data/1047127/000104712717000025/amkorarexecutiveincentiveb.htm" TargetMode="External"/><Relationship Id="rId147" Type="http://schemas.openxmlformats.org/officeDocument/2006/relationships/hyperlink" Target="http://www.sec.gov/Archives/edgar/data/1047127/000104712720000037/a103-exhibitamkorrutte.htm" TargetMode="External"/><Relationship Id="rId148" Type="http://schemas.openxmlformats.org/officeDocument/2006/relationships/hyperlink" Target="http://www.sec.gov/Archives/edgar/data/1047127/000104712720000037/a104-exhibitamkorsteph.htm" TargetMode="External"/><Relationship Id="rId149" Type="http://schemas.openxmlformats.org/officeDocument/2006/relationships/hyperlink" Target="http://www.sec.gov/Archives/edgar/data/0001047127/000104712721000043/amkr9302021ex101.htm" TargetMode="External"/><Relationship Id="rId151" Type="http://schemas.openxmlformats.org/officeDocument/2006/relationships/hyperlink" Target="http://www.sec.gov/Archives/edgar/data/1047127/000119312518220776/d551484dex101.htm" TargetMode="External"/><Relationship Id="rId152" Type="http://schemas.openxmlformats.org/officeDocument/2006/relationships/hyperlink" Target="http://www.sec.gov/Archives/edgar/data/1047127/000119312518220776/d551484dex102.htm" TargetMode="External"/><Relationship Id="rId153" Type="http://schemas.openxmlformats.org/officeDocument/2006/relationships/hyperlink" Target="http://www.sec.gov/Archives/edgar/data/1047127/000119312518220776/d551484dex103.htm" TargetMode="External"/><Relationship Id="rId154" Type="http://schemas.openxmlformats.org/officeDocument/2006/relationships/hyperlink" Target="http://www.sec.gov/Archives/edgar/data/1047127/000104712719000036/amkr63019ex102.htm" TargetMode="External"/><Relationship Id="rId155" Type="http://schemas.openxmlformats.org/officeDocument/2006/relationships/hyperlink" Target="http://www.sec.gov/Archives/edgar/data/1047127/000119312518220776/d551484dex104.htm" TargetMode="External"/><Relationship Id="rId156" Type="http://schemas.openxmlformats.org/officeDocument/2006/relationships/hyperlink" Target="http://www.sec.gov/Archives/edgar/data/1047127/000119312519323503/d841984dex101.htm" TargetMode="External"/><Relationship Id="rId157" Type="http://schemas.openxmlformats.org/officeDocument/2006/relationships/hyperlink" Target="http://www.sec.gov/Archives/edgar/data/1047127/000119312519323503/d841984dex102.htm" TargetMode="External"/><Relationship Id="rId158" Type="http://schemas.openxmlformats.org/officeDocument/2006/relationships/hyperlink" Target="http://www.sec.gov/Archives/edgar/data/1047127/000119312519323503/d841984dex103.htm" TargetMode="External"/><Relationship Id="rId160" Type="http://schemas.openxmlformats.org/officeDocument/2006/relationships/hyperlink" Target="https://www.sec.gov/Archives/edgar/data/1047127/000119312522088294/d31575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2023-02-22T14:50:40Z</dcterms:created>
  <dcterms:modified xsi:type="dcterms:W3CDTF">2023-02-22T14:50:40Z</dcterms:modified>
</cp:coreProperties>
</file>