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ind w:left="1920" w:right="2360" w:hanging="888"/>
        <w:spacing w:after="0" w:line="235" w:lineRule="auto"/>
        <w:tabs>
          <w:tab w:leader="none" w:pos="19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right"/>
        <w:ind w:right="55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89" w:lineRule="exact"/>
        <w:rPr>
          <w:sz w:val="24"/>
          <w:szCs w:val="24"/>
          <w:color w:val="auto"/>
        </w:rPr>
      </w:pPr>
    </w:p>
    <w:p>
      <w:pPr>
        <w:jc w:val="right"/>
        <w:ind w:righ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920" w:right="2340" w:hanging="888"/>
        <w:spacing w:after="0" w:line="235" w:lineRule="auto"/>
        <w:tabs>
          <w:tab w:leader="none" w:pos="19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200"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524"/>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31"/>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Arial" w:cs="Arial" w:eastAsia="Arial" w:hAnsi="Arial"/>
                <w:sz w:val="18"/>
                <w:szCs w:val="18"/>
                <w:b w:val="1"/>
                <w:bCs w:val="1"/>
                <w:color w:val="auto"/>
                <w:w w:val="91"/>
              </w:rPr>
              <w:t>23-1722724</w:t>
            </w:r>
          </w:p>
        </w:tc>
      </w:tr>
      <w:tr>
        <w:trPr>
          <w:trHeight w:val="140"/>
        </w:trPr>
        <w:tc>
          <w:tcPr>
            <w:tcW w:w="350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w w:val="96"/>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1"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3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60" w:type="dxa"/>
            <w:vAlign w:val="bottom"/>
          </w:tcPr>
          <w:p>
            <w:pPr>
              <w:jc w:val="center"/>
              <w:ind w:left="777"/>
              <w:spacing w:after="0"/>
              <w:rPr>
                <w:sz w:val="20"/>
                <w:szCs w:val="20"/>
                <w:color w:val="auto"/>
              </w:rPr>
            </w:pPr>
            <w:r>
              <w:rPr>
                <w:rFonts w:ascii="Arial" w:cs="Arial" w:eastAsia="Arial" w:hAnsi="Arial"/>
                <w:sz w:val="14"/>
                <w:szCs w:val="14"/>
                <w:i w:val="1"/>
                <w:iCs w:val="1"/>
                <w:color w:val="auto"/>
                <w:w w:val="96"/>
              </w:rPr>
              <w:t>Identification Number)</w:t>
            </w:r>
          </w:p>
        </w:tc>
      </w:tr>
      <w:tr>
        <w:trPr>
          <w:trHeight w:val="299"/>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2045 East Innovation Circle</w:t>
            </w:r>
          </w:p>
        </w:tc>
        <w:tc>
          <w:tcPr>
            <w:tcW w:w="446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Tempe, AZ 85284</w:t>
            </w:r>
          </w:p>
        </w:tc>
        <w:tc>
          <w:tcPr>
            <w:tcW w:w="4460" w:type="dxa"/>
            <w:vAlign w:val="bottom"/>
          </w:tcPr>
          <w:p>
            <w:pPr>
              <w:spacing w:after="0"/>
              <w:rPr>
                <w:sz w:val="18"/>
                <w:szCs w:val="18"/>
                <w:color w:val="auto"/>
              </w:rPr>
            </w:pP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r>
      <w:tr>
        <w:trPr>
          <w:trHeight w:val="323"/>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Arial" w:cs="Arial" w:eastAsia="Arial" w:hAnsi="Arial"/>
                <w:sz w:val="18"/>
                <w:szCs w:val="18"/>
                <w:b w:val="1"/>
                <w:bCs w:val="1"/>
                <w:color w:val="auto"/>
                <w:w w:val="90"/>
              </w:rPr>
              <w:t>(480) 821-5000</w:t>
            </w:r>
          </w:p>
        </w:tc>
        <w:tc>
          <w:tcPr>
            <w:tcW w:w="4460" w:type="dxa"/>
            <w:vAlign w:val="bottom"/>
          </w:tcPr>
          <w:p>
            <w:pPr>
              <w:spacing w:after="0"/>
              <w:rPr>
                <w:sz w:val="24"/>
                <w:szCs w:val="24"/>
                <w:color w:val="auto"/>
              </w:rPr>
            </w:pPr>
          </w:p>
        </w:tc>
      </w:tr>
      <w:tr>
        <w:trPr>
          <w:trHeight w:val="218"/>
        </w:trPr>
        <w:tc>
          <w:tcPr>
            <w:tcW w:w="3500" w:type="dxa"/>
            <w:vAlign w:val="bottom"/>
          </w:tcPr>
          <w:p>
            <w:pPr>
              <w:spacing w:after="0"/>
              <w:rPr>
                <w:sz w:val="18"/>
                <w:szCs w:val="18"/>
                <w:color w:val="auto"/>
              </w:rPr>
            </w:pPr>
          </w:p>
        </w:tc>
        <w:tc>
          <w:tcPr>
            <w:tcW w:w="7740" w:type="dxa"/>
            <w:vAlign w:val="bottom"/>
            <w:gridSpan w:val="2"/>
          </w:tcPr>
          <w:p>
            <w:pPr>
              <w:jc w:val="center"/>
              <w:ind w:right="3397"/>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16"/>
        </w:trPr>
        <w:tc>
          <w:tcPr>
            <w:tcW w:w="3500" w:type="dxa"/>
            <w:vAlign w:val="bottom"/>
          </w:tcPr>
          <w:p>
            <w:pPr>
              <w:spacing w:after="0"/>
              <w:rPr>
                <w:sz w:val="18"/>
                <w:szCs w:val="18"/>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03"/>
        </w:trPr>
        <w:tc>
          <w:tcPr>
            <w:tcW w:w="3500" w:type="dxa"/>
            <w:vAlign w:val="bottom"/>
            <w:tcBorders>
              <w:bottom w:val="single" w:sz="8" w:color="auto"/>
            </w:tcBorders>
          </w:tcPr>
          <w:p>
            <w:pPr>
              <w:jc w:val="center"/>
              <w:ind w:left="26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Arial" w:cs="Arial" w:eastAsia="Arial" w:hAnsi="Arial"/>
                <w:sz w:val="18"/>
                <w:szCs w:val="18"/>
                <w:b w:val="1"/>
                <w:bCs w:val="1"/>
                <w:color w:val="auto"/>
                <w:w w:val="91"/>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00" w:type="dxa"/>
            <w:vAlign w:val="bottom"/>
          </w:tcPr>
          <w:p>
            <w:pPr>
              <w:jc w:val="center"/>
              <w:ind w:left="24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98"/>
              <w:spacing w:after="0"/>
              <w:rPr>
                <w:sz w:val="20"/>
                <w:szCs w:val="20"/>
                <w:color w:val="auto"/>
              </w:rPr>
            </w:pPr>
            <w:r>
              <w:rPr>
                <w:rFonts w:ascii="Arial" w:cs="Arial" w:eastAsia="Arial" w:hAnsi="Arial"/>
                <w:sz w:val="18"/>
                <w:szCs w:val="18"/>
                <w:color w:val="auto"/>
              </w:rPr>
              <w:t>AMKR</w:t>
            </w:r>
          </w:p>
        </w:tc>
        <w:tc>
          <w:tcPr>
            <w:tcW w:w="4460" w:type="dxa"/>
            <w:vAlign w:val="bottom"/>
          </w:tcPr>
          <w:p>
            <w:pPr>
              <w:jc w:val="center"/>
              <w:ind w:right="637"/>
              <w:spacing w:after="0"/>
              <w:rPr>
                <w:sz w:val="20"/>
                <w:szCs w:val="20"/>
                <w:color w:val="auto"/>
              </w:rPr>
            </w:pPr>
            <w:r>
              <w:rPr>
                <w:rFonts w:ascii="Arial" w:cs="Arial" w:eastAsia="Arial" w:hAnsi="Arial"/>
                <w:sz w:val="18"/>
                <w:szCs w:val="18"/>
                <w:color w:val="auto"/>
                <w:w w:val="93"/>
              </w:rPr>
              <w:t>The NASDAQ Global Select Market</w:t>
            </w:r>
          </w:p>
        </w:tc>
      </w:tr>
    </w:tbl>
    <w:p>
      <w:pPr>
        <w:spacing w:after="0" w:line="6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70"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06"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98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April 23, 2021 was 244,183,747.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103505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57"/>
        </w:trPr>
        <w:tc>
          <w:tcPr>
            <w:tcW w:w="780" w:type="dxa"/>
            <w:vAlign w:val="bottom"/>
          </w:tcPr>
          <w:p>
            <w:pPr>
              <w:spacing w:after="0"/>
              <w:rPr>
                <w:sz w:val="22"/>
                <w:szCs w:val="22"/>
                <w:color w:val="auto"/>
              </w:rPr>
            </w:pPr>
          </w:p>
        </w:tc>
        <w:tc>
          <w:tcPr>
            <w:tcW w:w="7480" w:type="dxa"/>
            <w:vAlign w:val="bottom"/>
          </w:tcPr>
          <w:p>
            <w:pPr>
              <w:ind w:left="24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 Financial Information</w:t>
              </w:r>
            </w:hyperlink>
          </w:p>
        </w:tc>
        <w:tc>
          <w:tcPr>
            <w:tcW w:w="480" w:type="dxa"/>
            <w:vAlign w:val="bottom"/>
          </w:tcPr>
          <w:p>
            <w:pPr>
              <w:spacing w:after="0"/>
              <w:rPr>
                <w:sz w:val="22"/>
                <w:szCs w:val="22"/>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Income - </w:t>
              </w:r>
            </w:hyperlink>
            <w:r>
              <w:rPr>
                <w:rFonts w:ascii="Arial" w:cs="Arial" w:eastAsia="Arial" w:hAnsi="Arial"/>
                <w:sz w:val="18"/>
                <w:szCs w:val="18"/>
                <w:color w:val="auto"/>
              </w:rPr>
              <w:t xml:space="preserve">Three Months Ended March 31, 2021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 xml:space="preserve">Consolidated Statements of Comprehensive Income - </w:t>
              </w:r>
            </w:hyperlink>
            <w:r>
              <w:rPr>
                <w:rFonts w:ascii="Arial" w:cs="Arial" w:eastAsia="Arial" w:hAnsi="Arial"/>
                <w:sz w:val="18"/>
                <w:szCs w:val="18"/>
                <w:color w:val="auto"/>
                <w:w w:val="91"/>
              </w:rPr>
              <w:t xml:space="preserve">Three Months Ended March 31, 2021 </w:t>
            </w:r>
            <w:hyperlink w:anchor="page3">
              <w:r>
                <w:rPr>
                  <w:rFonts w:ascii="Arial" w:cs="Arial" w:eastAsia="Arial" w:hAnsi="Arial"/>
                  <w:sz w:val="18"/>
                  <w:szCs w:val="18"/>
                  <w:color w:val="auto"/>
                  <w:w w:val="91"/>
                </w:rPr>
                <w:t xml:space="preserve">and </w:t>
              </w:r>
            </w:hyperlink>
            <w:r>
              <w:rPr>
                <w:rFonts w:ascii="Arial" w:cs="Arial" w:eastAsia="Arial" w:hAnsi="Arial"/>
                <w:sz w:val="18"/>
                <w:szCs w:val="18"/>
                <w:color w:val="auto"/>
                <w:w w:val="91"/>
              </w:rPr>
              <w:t>2020</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Balance Sheets - </w:t>
              </w:r>
            </w:hyperlink>
            <w:r>
              <w:rPr>
                <w:rFonts w:ascii="Arial" w:cs="Arial" w:eastAsia="Arial" w:hAnsi="Arial"/>
                <w:sz w:val="18"/>
                <w:szCs w:val="18"/>
                <w:color w:val="auto"/>
              </w:rPr>
              <w:t xml:space="preserve">March 31,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w w:val="94"/>
              </w:rPr>
            </w:pPr>
            <w:hyperlink w:anchor="page5">
              <w:r>
                <w:rPr>
                  <w:rFonts w:ascii="Arial" w:cs="Arial" w:eastAsia="Arial" w:hAnsi="Arial"/>
                  <w:sz w:val="18"/>
                  <w:szCs w:val="18"/>
                  <w:color w:val="auto"/>
                  <w:w w:val="94"/>
                </w:rPr>
                <w:t xml:space="preserve">Consolidated Statements of Stockholders’ Equity - </w:t>
              </w:r>
            </w:hyperlink>
            <w:r>
              <w:rPr>
                <w:rFonts w:ascii="Arial" w:cs="Arial" w:eastAsia="Arial" w:hAnsi="Arial"/>
                <w:sz w:val="18"/>
                <w:szCs w:val="18"/>
                <w:color w:val="auto"/>
                <w:w w:val="94"/>
              </w:rPr>
              <w:t xml:space="preserve">Three Months Ended March 31, 2021 </w:t>
            </w:r>
            <w:hyperlink w:anchor="page5">
              <w:r>
                <w:rPr>
                  <w:rFonts w:ascii="Arial" w:cs="Arial" w:eastAsia="Arial" w:hAnsi="Arial"/>
                  <w:sz w:val="18"/>
                  <w:szCs w:val="18"/>
                  <w:color w:val="auto"/>
                  <w:w w:val="94"/>
                </w:rPr>
                <w:t xml:space="preserve">and </w:t>
              </w:r>
            </w:hyperlink>
            <w:r>
              <w:rPr>
                <w:rFonts w:ascii="Arial" w:cs="Arial" w:eastAsia="Arial" w:hAnsi="Arial"/>
                <w:sz w:val="18"/>
                <w:szCs w:val="18"/>
                <w:color w:val="auto"/>
                <w:w w:val="94"/>
              </w:rPr>
              <w:t>2020</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 xml:space="preserve">Condensed Consolidated Statements of Cash Flows - </w:t>
              </w:r>
            </w:hyperlink>
            <w:r>
              <w:rPr>
                <w:rFonts w:ascii="Arial" w:cs="Arial" w:eastAsia="Arial" w:hAnsi="Arial"/>
                <w:sz w:val="18"/>
                <w:szCs w:val="18"/>
                <w:color w:val="auto"/>
                <w:w w:val="91"/>
              </w:rPr>
              <w:t xml:space="preserve">Three Months Ended March 31, 2021 </w:t>
            </w:r>
            <w:hyperlink w:anchor="page6">
              <w:r>
                <w:rPr>
                  <w:rFonts w:ascii="Arial" w:cs="Arial" w:eastAsia="Arial" w:hAnsi="Arial"/>
                  <w:sz w:val="18"/>
                  <w:szCs w:val="18"/>
                  <w:color w:val="auto"/>
                  <w:w w:val="91"/>
                </w:rPr>
                <w:t xml:space="preserve">and </w:t>
              </w:r>
            </w:hyperlink>
            <w:r>
              <w:rPr>
                <w:rFonts w:ascii="Arial" w:cs="Arial" w:eastAsia="Arial" w:hAnsi="Arial"/>
                <w:sz w:val="18"/>
                <w:szCs w:val="18"/>
                <w:color w:val="auto"/>
                <w:w w:val="91"/>
              </w:rPr>
              <w:t>2020</w:t>
            </w:r>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78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19">
              <w:r>
                <w:rPr>
                  <w:rFonts w:ascii="Arial" w:cs="Arial" w:eastAsia="Arial" w:hAnsi="Arial"/>
                  <w:sz w:val="18"/>
                  <w:szCs w:val="18"/>
                  <w:color w:val="auto"/>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70"/>
        </w:trPr>
        <w:tc>
          <w:tcPr>
            <w:tcW w:w="78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70"/>
        </w:trPr>
        <w:tc>
          <w:tcPr>
            <w:tcW w:w="78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4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PART II. Other Information</w:t>
              </w:r>
            </w:hyperlink>
          </w:p>
        </w:tc>
        <w:tc>
          <w:tcPr>
            <w:tcW w:w="480" w:type="dxa"/>
            <w:vAlign w:val="bottom"/>
          </w:tcPr>
          <w:p>
            <w:pPr>
              <w:spacing w:after="0"/>
              <w:rPr>
                <w:sz w:val="24"/>
                <w:szCs w:val="24"/>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270"/>
        </w:trPr>
        <w:tc>
          <w:tcPr>
            <w:tcW w:w="78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1A.</w:t>
              </w:r>
            </w:hyperlink>
          </w:p>
        </w:tc>
        <w:tc>
          <w:tcPr>
            <w:tcW w:w="748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Risk Factors</w:t>
              </w:r>
            </w:hyperlink>
          </w:p>
        </w:tc>
        <w:tc>
          <w:tcPr>
            <w:tcW w:w="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270"/>
        </w:trPr>
        <w:tc>
          <w:tcPr>
            <w:tcW w:w="78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Unregistered Sales of Equity Securities and Use of Proceeds</w:t>
              </w:r>
            </w:hyperlink>
          </w:p>
        </w:tc>
        <w:tc>
          <w:tcPr>
            <w:tcW w:w="4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70"/>
        </w:trPr>
        <w:tc>
          <w:tcPr>
            <w:tcW w:w="7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Defaults Upon Senior Securities</w:t>
              </w:r>
            </w:hyperlink>
          </w:p>
        </w:tc>
        <w:tc>
          <w:tcPr>
            <w:tcW w:w="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70"/>
        </w:trPr>
        <w:tc>
          <w:tcPr>
            <w:tcW w:w="7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Mine Safety Disclosures</w:t>
              </w:r>
            </w:hyperlink>
          </w:p>
        </w:tc>
        <w:tc>
          <w:tcPr>
            <w:tcW w:w="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70"/>
        </w:trPr>
        <w:tc>
          <w:tcPr>
            <w:tcW w:w="7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5.</w:t>
              </w:r>
            </w:hyperlink>
          </w:p>
        </w:tc>
        <w:tc>
          <w:tcPr>
            <w:tcW w:w="748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Other Information</w:t>
              </w:r>
            </w:hyperlink>
          </w:p>
        </w:tc>
        <w:tc>
          <w:tcPr>
            <w:tcW w:w="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70"/>
        </w:trPr>
        <w:tc>
          <w:tcPr>
            <w:tcW w:w="7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748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Exhibits</w:t>
              </w:r>
            </w:hyperlink>
          </w:p>
        </w:tc>
        <w:tc>
          <w:tcPr>
            <w:tcW w:w="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70"/>
        </w:trPr>
        <w:tc>
          <w:tcPr>
            <w:tcW w:w="780" w:type="dxa"/>
            <w:vAlign w:val="bottom"/>
          </w:tcPr>
          <w:p>
            <w:pPr>
              <w:spacing w:after="0"/>
              <w:rPr>
                <w:rFonts w:ascii="Arial" w:cs="Arial" w:eastAsia="Arial" w:hAnsi="Arial"/>
                <w:sz w:val="18"/>
                <w:szCs w:val="18"/>
                <w:color w:val="auto"/>
                <w:w w:val="88"/>
              </w:rPr>
            </w:pPr>
            <w:hyperlink w:anchor="page47">
              <w:r>
                <w:rPr>
                  <w:rFonts w:ascii="Arial" w:cs="Arial" w:eastAsia="Arial" w:hAnsi="Arial"/>
                  <w:sz w:val="18"/>
                  <w:szCs w:val="18"/>
                  <w:color w:val="auto"/>
                  <w:w w:val="88"/>
                </w:rPr>
                <w:t>Signatures</w:t>
              </w:r>
            </w:hyperlink>
          </w:p>
        </w:tc>
        <w:tc>
          <w:tcPr>
            <w:tcW w:w="7480" w:type="dxa"/>
            <w:vAlign w:val="bottom"/>
          </w:tcPr>
          <w:p>
            <w:pPr>
              <w:spacing w:after="0"/>
              <w:rPr>
                <w:sz w:val="23"/>
                <w:szCs w:val="23"/>
                <w:color w:val="auto"/>
              </w:rPr>
            </w:pPr>
          </w:p>
        </w:tc>
        <w:tc>
          <w:tcPr>
            <w:tcW w:w="48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bl>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2021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Covid-19 pandemic on our operations and financial results, (5) 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our covenants,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expected timing of and charges related to restructuring activities, (15) the effect of foreign currency exchange rate exposure on our financial results, (16) the volatility of the trading price of our common stock, (17) changes to our internal controls related to integration of acquired operations and implementation of an enterprise resource planning system, (18) our efforts to enlarge our customer base in certain geographic areas and markets, (19) demand for advanced packages in mobile and automotive devices and our technology leadership and potential growth in this market, (20) projects to install or integrate new information technology systems or upgrade our existing systems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980" w:type="dxa"/>
            <w:vAlign w:val="bottom"/>
          </w:tcPr>
          <w:p>
            <w:pPr>
              <w:jc w:val="center"/>
              <w:ind w:left="243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1"/>
        </w:trPr>
        <w:tc>
          <w:tcPr>
            <w:tcW w:w="880" w:type="dxa"/>
            <w:vAlign w:val="bottom"/>
          </w:tcPr>
          <w:p>
            <w:pPr>
              <w:spacing w:after="0"/>
              <w:rPr>
                <w:sz w:val="24"/>
                <w:szCs w:val="24"/>
                <w:color w:val="auto"/>
              </w:rPr>
            </w:pPr>
          </w:p>
        </w:tc>
        <w:tc>
          <w:tcPr>
            <w:tcW w:w="6980" w:type="dxa"/>
            <w:vAlign w:val="bottom"/>
          </w:tcPr>
          <w:p>
            <w:pPr>
              <w:jc w:val="center"/>
              <w:ind w:left="2410"/>
              <w:spacing w:after="0"/>
              <w:rPr>
                <w:sz w:val="20"/>
                <w:szCs w:val="20"/>
                <w:color w:val="auto"/>
              </w:rPr>
            </w:pPr>
            <w:r>
              <w:rPr>
                <w:rFonts w:ascii="Arial" w:cs="Arial" w:eastAsia="Arial" w:hAnsi="Arial"/>
                <w:sz w:val="18"/>
                <w:szCs w:val="18"/>
                <w:b w:val="1"/>
                <w:bCs w:val="1"/>
                <w:color w:val="auto"/>
              </w:rPr>
              <w:t>AMKOR TECHNOLOGY, INC.</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980" w:type="dxa"/>
            <w:vAlign w:val="bottom"/>
          </w:tcPr>
          <w:p>
            <w:pPr>
              <w:jc w:val="center"/>
              <w:ind w:left="241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69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5"/>
        </w:trPr>
        <w:tc>
          <w:tcPr>
            <w:tcW w:w="8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88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r>
      <w:tr>
        <w:trPr>
          <w:trHeight w:val="183"/>
        </w:trPr>
        <w:tc>
          <w:tcPr>
            <w:tcW w:w="8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31"/>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9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1,326,150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1,152,616</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1,060,616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963,708</w:t>
            </w:r>
          </w:p>
        </w:tc>
      </w:tr>
      <w:tr>
        <w:trPr>
          <w:trHeight w:val="223"/>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188,908</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76,768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72,582</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r>
      <w:tr>
        <w:trPr>
          <w:trHeight w:val="223"/>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104,835</w:t>
            </w:r>
          </w:p>
        </w:tc>
      </w:tr>
      <w:tr>
        <w:trPr>
          <w:trHeight w:val="223"/>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84,073</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12,673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17,045</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23"/>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w:t>
            </w:r>
          </w:p>
        </w:tc>
      </w:tr>
      <w:tr>
        <w:trPr>
          <w:trHeight w:val="223"/>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69,343</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income</w:t>
            </w:r>
          </w:p>
        </w:tc>
        <w:tc>
          <w:tcPr>
            <w:tcW w:w="6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64,497</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63,889</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6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243,267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240,919</w:t>
            </w: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9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120,019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64,497</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net unrealized gains (losses) on available-for-sale debt investments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900" w:type="dxa"/>
            <w:vAlign w:val="bottom"/>
          </w:tcPr>
          <w:p>
            <w:pPr>
              <w:ind w:left="24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108,572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65,091</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108,362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530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698,002</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 (amortized cost of $163,703 and $133,744 in 2021 and 2020, respectively)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133,769</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Accounts receivable, net of allowances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950,015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962,643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297,293</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40,218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2,132,932</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2,623,470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2,566,002</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 of use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147,236</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27,325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145,628</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5,053,465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4540"/>
              <w:spacing w:after="0"/>
              <w:rPr>
                <w:sz w:val="20"/>
                <w:szCs w:val="20"/>
                <w:color w:val="auto"/>
              </w:rPr>
            </w:pPr>
            <w:r>
              <w:rPr>
                <w:rFonts w:ascii="Arial" w:cs="Arial" w:eastAsia="Arial" w:hAnsi="Arial"/>
                <w:sz w:val="17"/>
                <w:szCs w:val="17"/>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135,405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149,007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accounts payable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602,962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636,434</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Capital expenditures payable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273,934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181,339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304,556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349,207</w:t>
            </w:r>
          </w:p>
        </w:tc>
        <w:tc>
          <w:tcPr>
            <w:tcW w:w="0" w:type="dxa"/>
            <w:vAlign w:val="bottom"/>
          </w:tcPr>
          <w:p>
            <w:pPr>
              <w:spacing w:after="0"/>
              <w:rPr>
                <w:sz w:val="1"/>
                <w:szCs w:val="1"/>
                <w:color w:val="auto"/>
              </w:rPr>
            </w:pPr>
          </w:p>
        </w:tc>
      </w:tr>
      <w:tr>
        <w:trPr>
          <w:trHeight w:val="210"/>
        </w:trPr>
        <w:tc>
          <w:tcPr>
            <w:tcW w:w="78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1,316,857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1,315,987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952,366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1,005,339</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Pension and severance obligations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146,118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159,610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84,420</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102,996</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2,591,228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2,668,352</w:t>
            </w: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Preferred stock, $0.001 par value, 10,000 shares authorized, designated Series A, none issued</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840" w:type="dxa"/>
            <w:vAlign w:val="bottom"/>
            <w:shd w:val="clear" w:color="auto" w:fill="CCEEFF"/>
          </w:tcPr>
          <w:p>
            <w:pPr>
              <w:ind w:left="480"/>
              <w:spacing w:after="0" w:line="162" w:lineRule="exact"/>
              <w:rPr>
                <w:sz w:val="20"/>
                <w:szCs w:val="20"/>
                <w:color w:val="auto"/>
              </w:rPr>
            </w:pPr>
            <w:r>
              <w:rPr>
                <w:rFonts w:ascii="Arial" w:cs="Arial" w:eastAsia="Arial" w:hAnsi="Arial"/>
                <w:sz w:val="17"/>
                <w:szCs w:val="17"/>
                <w:color w:val="auto"/>
                <w:w w:val="94"/>
              </w:rPr>
              <w:t>Common stock, $0.001 par value, 500,000 shares authorized; 289,865 and 288,923 shares issued; and</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243,714 and 242,829 shares outstanding in 2021 and 2020, respectively</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1,964,331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1,953,378</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672,534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562,502</w:t>
            </w: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Accumulated other comprehensive income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27,270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Treasury stock, at cost, 46,151 and 46,094 shares in 2021 and 2020,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(219,061)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(217,740)</w:t>
            </w:r>
          </w:p>
        </w:tc>
        <w:tc>
          <w:tcPr>
            <w:tcW w:w="0" w:type="dxa"/>
            <w:vAlign w:val="bottom"/>
          </w:tcPr>
          <w:p>
            <w:pPr>
              <w:spacing w:after="0"/>
              <w:rPr>
                <w:sz w:val="1"/>
                <w:szCs w:val="1"/>
                <w:color w:val="auto"/>
              </w:rPr>
            </w:pPr>
          </w:p>
        </w:tc>
      </w:tr>
      <w:tr>
        <w:trPr>
          <w:trHeight w:val="209"/>
        </w:trPr>
        <w:tc>
          <w:tcPr>
            <w:tcW w:w="7840" w:type="dxa"/>
            <w:vAlign w:val="bottom"/>
          </w:tcPr>
          <w:p>
            <w:pPr>
              <w:ind w:left="680"/>
              <w:spacing w:after="0"/>
              <w:rPr>
                <w:sz w:val="20"/>
                <w:szCs w:val="20"/>
                <w:color w:val="auto"/>
              </w:rPr>
            </w:pPr>
            <w:r>
              <w:rPr>
                <w:rFonts w:ascii="Arial" w:cs="Arial" w:eastAsia="Arial" w:hAnsi="Arial"/>
                <w:sz w:val="17"/>
                <w:szCs w:val="17"/>
                <w:color w:val="auto"/>
              </w:rPr>
              <w:t>Total Amkor stockholders’ equity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2,433,917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2,325,699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 in subsidiaries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28,260</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2,462,237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2,353,959</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5,053,465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right"/>
              <w:ind w:right="26"/>
              <w:spacing w:after="0" w:line="122" w:lineRule="exact"/>
              <w:rPr>
                <w:sz w:val="20"/>
                <w:szCs w:val="20"/>
                <w:color w:val="auto"/>
              </w:rPr>
            </w:pPr>
            <w:r>
              <w:rPr>
                <w:rFonts w:ascii="Arial" w:cs="Arial" w:eastAsia="Arial" w:hAnsi="Arial"/>
                <w:sz w:val="11"/>
                <w:szCs w:val="11"/>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20" w:type="dxa"/>
            <w:vAlign w:val="bottom"/>
          </w:tcPr>
          <w:p>
            <w:pPr>
              <w:spacing w:after="0"/>
              <w:rPr>
                <w:sz w:val="10"/>
                <w:szCs w:val="10"/>
                <w:color w:val="auto"/>
              </w:rPr>
            </w:pPr>
          </w:p>
        </w:tc>
        <w:tc>
          <w:tcPr>
            <w:tcW w:w="1660" w:type="dxa"/>
            <w:vAlign w:val="bottom"/>
            <w:gridSpan w:val="8"/>
          </w:tcPr>
          <w:p>
            <w:pPr>
              <w:ind w:left="420"/>
              <w:spacing w:after="0" w:line="122" w:lineRule="exact"/>
              <w:rPr>
                <w:sz w:val="20"/>
                <w:szCs w:val="20"/>
                <w:color w:val="auto"/>
              </w:rPr>
            </w:pPr>
            <w:r>
              <w:rPr>
                <w:rFonts w:ascii="Arial" w:cs="Arial" w:eastAsia="Arial" w:hAnsi="Arial"/>
                <w:sz w:val="11"/>
                <w:szCs w:val="11"/>
                <w:b w:val="1"/>
                <w:bCs w:val="1"/>
                <w:color w:val="auto"/>
              </w:rPr>
              <w:t>Treasury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Total Amkor</w:t>
            </w:r>
          </w:p>
        </w:tc>
        <w:tc>
          <w:tcPr>
            <w:tcW w:w="12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5"/>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000" w:type="dxa"/>
            <w:vAlign w:val="bottom"/>
            <w:gridSpan w:val="3"/>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line="20" w:lineRule="exact"/>
              <w:rPr>
                <w:sz w:val="1"/>
                <w:szCs w:val="1"/>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5"/>
            <w:vMerge w:val="continue"/>
          </w:tcPr>
          <w:p>
            <w:pPr>
              <w:spacing w:after="0" w:line="20" w:lineRule="exact"/>
              <w:rPr>
                <w:sz w:val="1"/>
                <w:szCs w:val="1"/>
                <w:color w:val="auto"/>
              </w:rPr>
            </w:pPr>
          </w:p>
        </w:tc>
        <w:tc>
          <w:tcPr>
            <w:tcW w:w="106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Retained Earnings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2"/>
              </w:rPr>
              <w:t>In Capital</w:t>
            </w:r>
          </w:p>
        </w:tc>
        <w:tc>
          <w:tcPr>
            <w:tcW w:w="10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6"/>
          </w:tcPr>
          <w:p>
            <w:pPr>
              <w:ind w:left="640"/>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w w:val="91"/>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288,923</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66"/>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1,953,378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562,502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27,270</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(46,094)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(217,740)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2,325,699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28,260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2,353,959</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119,809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119,809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120,019</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comprehensive</w:t>
            </w:r>
          </w:p>
        </w:tc>
        <w:tc>
          <w:tcPr>
            <w:tcW w:w="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(11,447)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(11,447)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(11,447)</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2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7"/>
              </w:rPr>
              <w:t>through surrender of shares</w:t>
            </w:r>
          </w:p>
        </w:tc>
        <w:tc>
          <w:tcPr>
            <w:tcW w:w="2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(1,321)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(1,321)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(1,321)</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4"/>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8,560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8,561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8,561</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w w:val="88"/>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2,393</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8"/>
              </w:rPr>
              <w:t>Cash dividends declared</w:t>
            </w:r>
          </w:p>
        </w:tc>
        <w:tc>
          <w:tcPr>
            <w:tcW w:w="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(9,777)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(9,777)</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($0.04 per common share)</w:t>
            </w:r>
          </w:p>
        </w:tc>
        <w:tc>
          <w:tcPr>
            <w:tcW w:w="2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rPr>
              <w:t>Subsidiary dividends to</w:t>
            </w:r>
          </w:p>
        </w:tc>
        <w:tc>
          <w:tcPr>
            <w:tcW w:w="2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9"/>
        </w:trPr>
        <w:tc>
          <w:tcPr>
            <w:tcW w:w="160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00" w:type="dxa"/>
            <w:vAlign w:val="bottom"/>
            <w:tcBorders>
              <w:top w:val="single" w:sz="8" w:color="CCEEFF"/>
            </w:tcBorders>
            <w:shd w:val="clear" w:color="auto" w:fill="CCEEFF"/>
          </w:tcPr>
          <w:p>
            <w:pPr>
              <w:ind w:left="180"/>
              <w:spacing w:after="0" w:line="108" w:lineRule="exact"/>
              <w:rPr>
                <w:sz w:val="20"/>
                <w:szCs w:val="20"/>
                <w:color w:val="auto"/>
              </w:rPr>
            </w:pPr>
            <w:r>
              <w:rPr>
                <w:rFonts w:ascii="Arial" w:cs="Arial" w:eastAsia="Arial" w:hAnsi="Arial"/>
                <w:sz w:val="12"/>
                <w:szCs w:val="12"/>
                <w:b w:val="1"/>
                <w:bCs w:val="1"/>
                <w:color w:val="auto"/>
              </w:rPr>
              <w:t>Balance at March 31,</w:t>
            </w:r>
          </w:p>
        </w:tc>
        <w:tc>
          <w:tcPr>
            <w:tcW w:w="6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289,865</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gridSpan w:val="2"/>
            <w:vMerge w:val="restart"/>
            <w:shd w:val="clear" w:color="auto" w:fill="CCEEFF"/>
          </w:tcPr>
          <w:p>
            <w:pPr>
              <w:jc w:val="right"/>
              <w:ind w:right="266"/>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1,964,331</w:t>
            </w: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672,534</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15,823</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(46,151)</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(219,061)</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2,433,917</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28,320</w:t>
            </w: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2,462,237</w:t>
            </w:r>
          </w:p>
        </w:tc>
        <w:tc>
          <w:tcPr>
            <w:tcW w:w="0" w:type="dxa"/>
            <w:vAlign w:val="bottom"/>
          </w:tcPr>
          <w:p>
            <w:pPr>
              <w:spacing w:after="0"/>
              <w:rPr>
                <w:sz w:val="1"/>
                <w:szCs w:val="1"/>
                <w:color w:val="auto"/>
              </w:rPr>
            </w:pPr>
          </w:p>
        </w:tc>
      </w:tr>
      <w:tr>
        <w:trPr>
          <w:trHeight w:val="168"/>
        </w:trPr>
        <w:tc>
          <w:tcPr>
            <w:tcW w:w="1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gridSpan w:val="2"/>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gridSpan w:val="2"/>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gridSpan w:val="2"/>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gridSpan w:val="2"/>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3"/>
                <w:szCs w:val="13"/>
                <w:b w:val="1"/>
                <w:bCs w:val="1"/>
                <w:color w:val="auto"/>
                <w:w w:val="91"/>
              </w:rPr>
              <w:t>Balance at December 31,</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00" w:type="dxa"/>
            <w:vAlign w:val="bottom"/>
            <w:vMerge w:val="continue"/>
          </w:tcPr>
          <w:p>
            <w:pPr>
              <w:spacing w:after="0"/>
              <w:rPr>
                <w:sz w:val="24"/>
                <w:szCs w:val="24"/>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286,877</w:t>
            </w:r>
          </w:p>
        </w:tc>
        <w:tc>
          <w:tcPr>
            <w:tcW w:w="40" w:type="dxa"/>
            <w:vAlign w:val="bottom"/>
          </w:tcPr>
          <w:p>
            <w:pPr>
              <w:spacing w:after="0"/>
              <w:rPr>
                <w:sz w:val="24"/>
                <w:szCs w:val="24"/>
                <w:color w:val="auto"/>
              </w:rPr>
            </w:pPr>
          </w:p>
        </w:tc>
        <w:tc>
          <w:tcPr>
            <w:tcW w:w="400" w:type="dxa"/>
            <w:vAlign w:val="bottom"/>
            <w:gridSpan w:val="2"/>
            <w:vMerge w:val="restart"/>
          </w:tcPr>
          <w:p>
            <w:pPr>
              <w:jc w:val="right"/>
              <w:ind w:right="206"/>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287</w:t>
            </w:r>
          </w:p>
        </w:tc>
        <w:tc>
          <w:tcPr>
            <w:tcW w:w="20" w:type="dxa"/>
            <w:vAlign w:val="bottom"/>
          </w:tcPr>
          <w:p>
            <w:pPr>
              <w:spacing w:after="0"/>
              <w:rPr>
                <w:sz w:val="24"/>
                <w:szCs w:val="2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1,927,739</w:t>
            </w:r>
          </w:p>
        </w:tc>
        <w:tc>
          <w:tcPr>
            <w:tcW w:w="20" w:type="dxa"/>
            <w:vAlign w:val="bottom"/>
          </w:tcPr>
          <w:p>
            <w:pPr>
              <w:spacing w:after="0"/>
              <w:rPr>
                <w:sz w:val="24"/>
                <w:szCs w:val="2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234,077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19,115</w:t>
            </w:r>
          </w:p>
        </w:tc>
        <w:tc>
          <w:tcPr>
            <w:tcW w:w="100" w:type="dxa"/>
            <w:vAlign w:val="bottom"/>
          </w:tcPr>
          <w:p>
            <w:pPr>
              <w:spacing w:after="0"/>
              <w:rPr>
                <w:sz w:val="24"/>
                <w:szCs w:val="2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(46,072)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(217,479)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1,963,739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26,500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1,990,239</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63,889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63,889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64,497</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rPr>
              <w:t>Other comprehensive</w:t>
            </w:r>
          </w:p>
        </w:tc>
        <w:tc>
          <w:tcPr>
            <w:tcW w:w="20" w:type="dxa"/>
            <w:vAlign w:val="bottom"/>
          </w:tcPr>
          <w:p>
            <w:pPr>
              <w:spacing w:after="0"/>
              <w:rPr>
                <w:sz w:val="10"/>
                <w:szCs w:val="10"/>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vMerge w:val="restart"/>
          </w:tcPr>
          <w:p>
            <w:pPr>
              <w:ind w:left="4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594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7"/>
              </w:rPr>
              <w:t>through surrender of shares</w:t>
            </w:r>
          </w:p>
        </w:tc>
        <w:tc>
          <w:tcPr>
            <w:tcW w:w="2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2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stock through</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216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1,519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40" w:type="dxa"/>
            <w:vAlign w:val="bottom"/>
            <w:gridSpan w:val="3"/>
            <w:vMerge w:val="restart"/>
          </w:tcPr>
          <w:p>
            <w:pPr>
              <w:ind w:left="4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1,519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plans</w:t>
            </w: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w w:val="88"/>
              </w:rPr>
              <w:t>Share-based compensation</w:t>
            </w:r>
          </w:p>
        </w:tc>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1,830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w:t>
            </w: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ind w:left="180"/>
              <w:spacing w:after="0" w:line="108" w:lineRule="exact"/>
              <w:rPr>
                <w:sz w:val="20"/>
                <w:szCs w:val="20"/>
                <w:color w:val="auto"/>
              </w:rPr>
            </w:pPr>
            <w:r>
              <w:rPr>
                <w:rFonts w:ascii="Arial" w:cs="Arial" w:eastAsia="Arial" w:hAnsi="Arial"/>
                <w:sz w:val="12"/>
                <w:szCs w:val="12"/>
                <w:b w:val="1"/>
                <w:bCs w:val="1"/>
                <w:color w:val="auto"/>
              </w:rPr>
              <w:t>Balance at March 31,</w:t>
            </w:r>
          </w:p>
        </w:tc>
        <w:tc>
          <w:tcPr>
            <w:tcW w:w="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287,093</w:t>
            </w:r>
          </w:p>
        </w:tc>
        <w:tc>
          <w:tcPr>
            <w:tcW w:w="4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206"/>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287</w:t>
            </w:r>
          </w:p>
        </w:tc>
        <w:tc>
          <w:tcPr>
            <w:tcW w:w="2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1,931,088</w:t>
            </w:r>
          </w:p>
        </w:tc>
        <w:tc>
          <w:tcPr>
            <w:tcW w:w="2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297,966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19,709</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(46,077)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(217,533)</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2,031,517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27,108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2,058,625</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120,019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64,497</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123,657</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8,287</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(99,852)</w:t>
            </w: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96,589</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(110,351)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(55,888)</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foreign exchange forward contracts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7,661</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foreign exchange forward contracts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(55,754)</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201,000</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short-term debt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Payments of short-term debt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(79,684)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(172,336)</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finance lease obligations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Payments of dividends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55,095</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46,792</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898,532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654,772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945,324</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7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7900" w:type="dxa"/>
            <w:vAlign w:val="bottom"/>
          </w:tcPr>
          <w:p>
            <w:pPr>
              <w:ind w:left="4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273,971</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107,344</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March 31, 2021, and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2020, are unaudited, pursuant to the rules and regulations of the United States Securities and Exchange Commission (“SEC”). The December 31, 2020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2020, filed on Form 10-K with the SEC on February 19, 2021. The results of operations for the three months ended March 31, 2021 are not necessarily indicative of the results to be expected for the full year. Unless the context otherwise requires, all references to “Amkor,” “we,” “us” or “our” are to Amkor Technology, Inc. and our subsidiaries. Certain prior year amounts have been reclassified to conform to current year presentation.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Consolidated Financial Statements have been prepared in conformity with U.S. GAAP, using management’s best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including the impact of Covid-19 and any worsening of the global business and economic environment.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March 31, 2021 and December 31, 2020 were $142.7 million and $146.8 million, respectively.</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Contract Liability. </w:t>
      </w:r>
      <w:r>
        <w:rPr>
          <w:rFonts w:ascii="Arial" w:cs="Arial" w:eastAsia="Arial" w:hAnsi="Arial"/>
          <w:sz w:val="18"/>
          <w:szCs w:val="18"/>
          <w:color w:val="auto"/>
        </w:rPr>
        <w:t>Contract liabilities were $53.3 million and $51.6 million as of March 31, 2021 and December 31, 2020, respectively.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December 31, 2020, the short-term portion of the liability was $34.9 million and $30.3 million, respectively. Revenue recognized during the three months ended March 31, 2021 and 2020 that was included in the contract liability balance at the beginning of the period was $8.1 million and $5.3 million, respectively.</w:t>
      </w:r>
    </w:p>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Net Sales by Product Group and End Market</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presents our net sales by product group. Beginning in 2021, we are reporting memory net sales in Advanced products. Previously, memory net sales were reported in Mainstream products. Prior year amounts were reclassified to conform to current year presentation.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920,655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794,777</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 (2)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405,495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357,839</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 (handheld devices, smartphones, tablets)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Consumer (connected home, set-top boxes, televisions, visual imaging, wearables)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industrial and other (driver assist, infotainment, performance, safety)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80" w:type="dxa"/>
            <w:vAlign w:val="bottom"/>
          </w:tcPr>
          <w:p>
            <w:pPr>
              <w:spacing w:after="0"/>
              <w:rPr>
                <w:sz w:val="20"/>
                <w:szCs w:val="20"/>
                <w:color w:val="auto"/>
              </w:rPr>
            </w:pPr>
            <w:r>
              <w:rPr>
                <w:rFonts w:ascii="Arial" w:cs="Arial" w:eastAsia="Arial" w:hAnsi="Arial"/>
                <w:sz w:val="18"/>
                <w:szCs w:val="18"/>
                <w:color w:val="auto"/>
              </w:rPr>
              <w:t>Other income and expense consist of the following: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(2,258)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(2,315)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of $11.7 million for the three months ended March 31, 2021 reflects income taxes, foreign withholding taxes and minimum taxes.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Unrecognized tax benefits represent reserves for potential tax deficiencies or reductions in tax benefits that could result from federal, state or foreign tax audits. Gross unrecognized tax benefits decreased from $32.6 million at December 31, 2020 to $29.1 million as of March 31, 2021, primarily due to the lapse of statutes of limitations and settlement of examinations offset by increases related to income attribution.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tax returns that are open to examination in various jurisdictions for tax years 2010-2020.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87"/>
        </w:trPr>
        <w:tc>
          <w:tcPr>
            <w:tcW w:w="79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2020</w:t>
            </w:r>
          </w:p>
        </w:tc>
      </w:tr>
      <w:tr>
        <w:trPr>
          <w:trHeight w:val="130"/>
        </w:trPr>
        <w:tc>
          <w:tcPr>
            <w:tcW w:w="7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gridSpan w:val="3"/>
          </w:tcPr>
          <w:p>
            <w:pPr>
              <w:jc w:val="center"/>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1"/>
                <w:szCs w:val="11"/>
                <w:color w:val="auto"/>
              </w:rPr>
            </w:pPr>
          </w:p>
        </w:tc>
      </w:tr>
      <w:tr>
        <w:trPr>
          <w:trHeight w:val="188"/>
        </w:trPr>
        <w:tc>
          <w:tcPr>
            <w:tcW w:w="7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except per share data)</w:t>
            </w:r>
          </w:p>
        </w:tc>
        <w:tc>
          <w:tcPr>
            <w:tcW w:w="980" w:type="dxa"/>
            <w:vAlign w:val="bottom"/>
          </w:tcPr>
          <w:p>
            <w:pPr>
              <w:spacing w:after="0"/>
              <w:rPr>
                <w:sz w:val="16"/>
                <w:szCs w:val="16"/>
                <w:color w:val="auto"/>
              </w:rPr>
            </w:pPr>
          </w:p>
        </w:tc>
      </w:tr>
      <w:tr>
        <w:trPr>
          <w:trHeight w:val="229"/>
        </w:trPr>
        <w:tc>
          <w:tcPr>
            <w:tcW w:w="7900" w:type="dxa"/>
            <w:vAlign w:val="bottom"/>
            <w:tcBorders>
              <w:bottom w:val="single" w:sz="8" w:color="CCEEFF"/>
            </w:tcBorders>
            <w:shd w:val="clear" w:color="auto" w:fill="CCEEFF"/>
          </w:tcPr>
          <w:p>
            <w:pPr>
              <w:ind w:left="60"/>
              <w:spacing w:after="0" w:line="204" w:lineRule="exact"/>
              <w:rPr>
                <w:sz w:val="20"/>
                <w:szCs w:val="20"/>
                <w:color w:val="auto"/>
              </w:rPr>
            </w:pPr>
            <w:r>
              <w:rPr>
                <w:rFonts w:ascii="Arial" w:cs="Arial" w:eastAsia="Arial" w:hAnsi="Arial"/>
                <w:sz w:val="18"/>
                <w:szCs w:val="18"/>
                <w:color w:val="auto"/>
              </w:rPr>
              <w:t>Net income attributable to Amkor common stockholders</w:t>
            </w:r>
          </w:p>
        </w:tc>
        <w:tc>
          <w:tcPr>
            <w:tcW w:w="960" w:type="dxa"/>
            <w:vAlign w:val="bottom"/>
            <w:tcBorders>
              <w:bottom w:val="single" w:sz="8" w:color="auto"/>
            </w:tcBorders>
            <w:shd w:val="clear" w:color="auto" w:fill="CCEEFF"/>
          </w:tcPr>
          <w:p>
            <w:pPr>
              <w:jc w:val="right"/>
              <w:ind w:right="779"/>
              <w:spacing w:after="0" w:line="204"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119,809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63,889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243,267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240,919</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awards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 - diluted</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245,129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attributable to Amkor per common share: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900" w:type="dxa"/>
            <w:vAlign w:val="bottom"/>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4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23495</wp:posOffset>
            </wp:positionV>
            <wp:extent cx="2125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2" w:lineRule="exact"/>
        <w:rPr>
          <w:sz w:val="20"/>
          <w:szCs w:val="20"/>
          <w:color w:val="auto"/>
        </w:rPr>
      </w:pPr>
    </w:p>
    <w:p>
      <w:pPr>
        <w:ind w:left="8560"/>
        <w:spacing w:after="0"/>
        <w:tabs>
          <w:tab w:leader="none" w:pos="10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23495</wp:posOffset>
            </wp:positionV>
            <wp:extent cx="2125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spacing w:after="0"/>
        <w:tabs>
          <w:tab w:leader="none" w:pos="9240" w:val="left"/>
          <w:tab w:leader="none" w:pos="10740" w:val="left"/>
        </w:tabs>
        <w:rPr>
          <w:sz w:val="20"/>
          <w:szCs w:val="20"/>
          <w:color w:val="auto"/>
        </w:rPr>
      </w:pPr>
      <w:r>
        <w:rPr>
          <w:rFonts w:ascii="Arial" w:cs="Arial" w:eastAsia="Arial" w:hAnsi="Arial"/>
          <w:sz w:val="18"/>
          <w:szCs w:val="18"/>
          <w:color w:val="auto"/>
        </w:rPr>
        <w:t>Share-based awards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60"/>
        <w:spacing w:after="0" w:line="235" w:lineRule="auto"/>
        <w:rPr>
          <w:sz w:val="20"/>
          <w:szCs w:val="20"/>
          <w:color w:val="auto"/>
        </w:rPr>
      </w:pPr>
      <w:r>
        <w:rPr>
          <w:rFonts w:ascii="Arial" w:cs="Arial" w:eastAsia="Arial" w:hAnsi="Arial"/>
          <w:sz w:val="18"/>
          <w:szCs w:val="18"/>
          <w:color w:val="auto"/>
        </w:rPr>
        <w:t>Accumulated other comprehensive income (loss) at December 31, 2020</w:t>
      </w:r>
    </w:p>
    <w:p>
      <w:pPr>
        <w:ind w:left="400"/>
        <w:spacing w:after="0"/>
        <w:rPr>
          <w:sz w:val="20"/>
          <w:szCs w:val="20"/>
          <w:color w:val="auto"/>
        </w:rPr>
      </w:pPr>
      <w:r>
        <w:rPr>
          <w:rFonts w:ascii="Arial" w:cs="Arial" w:eastAsia="Arial" w:hAnsi="Arial"/>
          <w:sz w:val="16"/>
          <w:szCs w:val="16"/>
          <w:color w:val="auto"/>
        </w:rPr>
        <w:t>Other comprehensive income (loss) before reclassifications</w:t>
      </w:r>
    </w:p>
    <w:p>
      <w:pPr>
        <w:spacing w:after="0" w:line="46" w:lineRule="exact"/>
        <w:rPr>
          <w:sz w:val="20"/>
          <w:szCs w:val="20"/>
          <w:color w:val="auto"/>
        </w:rPr>
      </w:pPr>
    </w:p>
    <w:p>
      <w:pPr>
        <w:ind w:left="400"/>
        <w:spacing w:after="0" w:line="234" w:lineRule="auto"/>
        <w:rPr>
          <w:sz w:val="20"/>
          <w:szCs w:val="20"/>
          <w:color w:val="auto"/>
        </w:rPr>
      </w:pPr>
      <w:r>
        <w:rPr>
          <w:rFonts w:ascii="Arial" w:cs="Arial" w:eastAsia="Arial" w:hAnsi="Arial"/>
          <w:sz w:val="18"/>
          <w:szCs w:val="18"/>
          <w:color w:val="auto"/>
        </w:rPr>
        <w:t>Amounts reclassified from accumulated other comprehensive income (loss)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260" w:right="60"/>
        <w:spacing w:after="0" w:line="234" w:lineRule="auto"/>
        <w:rPr>
          <w:sz w:val="20"/>
          <w:szCs w:val="20"/>
          <w:color w:val="auto"/>
        </w:rPr>
      </w:pPr>
      <w:r>
        <w:rPr>
          <w:rFonts w:ascii="Arial" w:cs="Arial" w:eastAsia="Arial" w:hAnsi="Arial"/>
          <w:sz w:val="18"/>
          <w:szCs w:val="18"/>
          <w:color w:val="auto"/>
        </w:rPr>
        <w:t>Accumulated other comprehensive income (loss) at March 31, 2021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1"/>
                <w:szCs w:val="11"/>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for-Sale Debt</w:t>
            </w: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937"/>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360" w:type="dxa"/>
            <w:vAlign w:val="bottom"/>
          </w:tcPr>
          <w:p>
            <w:pPr>
              <w:jc w:val="center"/>
              <w:ind w:left="897"/>
              <w:spacing w:after="0"/>
              <w:rPr>
                <w:sz w:val="20"/>
                <w:szCs w:val="20"/>
                <w:color w:val="auto"/>
              </w:rPr>
            </w:pPr>
            <w:r>
              <w:rPr>
                <w:rFonts w:ascii="Arial" w:cs="Arial" w:eastAsia="Arial" w:hAnsi="Arial"/>
                <w:sz w:val="18"/>
                <w:szCs w:val="18"/>
                <w:color w:val="auto"/>
                <w:w w:val="93"/>
              </w:rPr>
              <w:t>(59)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360" w:type="dxa"/>
            <w:vAlign w:val="bottom"/>
          </w:tcPr>
          <w:p>
            <w:pPr>
              <w:jc w:val="center"/>
              <w:ind w:left="937"/>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left="897"/>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35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917"/>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20,027</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-1088390</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-685165</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-273685</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4820" w:space="60"/>
            <w:col w:w="6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 Gains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180" w:type="dxa"/>
            <w:vAlign w:val="bottom"/>
          </w:tcPr>
          <w:p>
            <w:pPr>
              <w:spacing w:after="0"/>
              <w:rPr>
                <w:sz w:val="11"/>
                <w:szCs w:val="11"/>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for-Sale Debt</w:t>
            </w: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Investments (1)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CEEFF"/>
          </w:tcPr>
          <w:p>
            <w:pPr>
              <w:ind w:left="260"/>
              <w:spacing w:after="0" w:line="177" w:lineRule="exact"/>
              <w:rPr>
                <w:sz w:val="20"/>
                <w:szCs w:val="20"/>
                <w:color w:val="auto"/>
              </w:rPr>
            </w:pPr>
            <w:r>
              <w:rPr>
                <w:rFonts w:ascii="Arial" w:cs="Arial" w:eastAsia="Arial" w:hAnsi="Arial"/>
                <w:sz w:val="18"/>
                <w:szCs w:val="18"/>
                <w:color w:val="auto"/>
                <w:w w:val="92"/>
              </w:rPr>
              <w:t>Accumulated other comprehensive income (loss) at December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31, 2019</w:t>
            </w:r>
          </w:p>
        </w:tc>
        <w:tc>
          <w:tcPr>
            <w:tcW w:w="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Amounts reclassified from accumulated other comprehensive</w:t>
            </w: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w w:val="93"/>
              </w:rPr>
              <w:t>Accumulated other comprehensive income (loss) at March 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19,709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171"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All of our available-for-sale debt investments as of March 31, 2021 are available to fund current operations and are recorded at fair value (Note 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March 31,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235,187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235,182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212,874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24,023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59,927</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18,552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159,084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159,074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38,073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121,001</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394,256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143,309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42" w:lineRule="auto"/>
        <w:tabs>
          <w:tab w:leader="none" w:pos="654"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March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Fair Value</w:t>
            </w:r>
          </w:p>
        </w:tc>
      </w:tr>
      <w:tr>
        <w:trPr>
          <w:trHeight w:val="187"/>
        </w:trPr>
        <w:tc>
          <w:tcPr>
            <w:tcW w:w="6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6"/>
                <w:szCs w:val="16"/>
                <w:color w:val="auto"/>
              </w:rPr>
            </w:pPr>
          </w:p>
        </w:tc>
      </w:tr>
      <w:tr>
        <w:trPr>
          <w:trHeight w:val="23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1680" w:type="dxa"/>
            <w:vAlign w:val="bottom"/>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379,754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379,731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11,067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11,078</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1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394,271</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394,256</w:t>
            </w:r>
          </w:p>
        </w:tc>
      </w:tr>
      <w:tr>
        <w:trPr>
          <w:trHeight w:val="20"/>
        </w:trPr>
        <w:tc>
          <w:tcPr>
            <w:tcW w:w="6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the issuers may have the right to call or prepay obligations without call or prepayment penalties, and we view our available-for-sale debt investments as available for current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amortized cost and the fair market value of our held-to-maturity government bond (Level 1) maturing within a year was $4.6 million. As of December 31, 2020,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months ended March 31, 2021 and 2020, we sold receivables totaling $106.3 million and $170.5 million, net of discounts and fees of $0.2 million and $1.0 million, respectively.</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1,636,111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1,625,355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5,736,797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Finance lease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40,856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Furniture, fixtures and other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48,602</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8,075,636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7,924,859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(5,452,166)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(5,358,857)</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2,623,470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2,566,002</w:t>
            </w:r>
          </w:p>
        </w:tc>
        <w:tc>
          <w:tcPr>
            <w:tcW w:w="0" w:type="dxa"/>
            <w:vAlign w:val="bottom"/>
          </w:tcPr>
          <w:p>
            <w:pPr>
              <w:spacing w:after="0"/>
              <w:rPr>
                <w:sz w:val="1"/>
                <w:szCs w:val="1"/>
                <w:color w:val="auto"/>
              </w:rPr>
            </w:pPr>
          </w:p>
        </w:tc>
      </w:tr>
      <w:tr>
        <w:trPr>
          <w:trHeight w:val="21"/>
        </w:trPr>
        <w:tc>
          <w:tcPr>
            <w:tcW w:w="764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gridSpan w:val="4"/>
            <w:vMerge w:val="restart"/>
          </w:tcPr>
          <w:p>
            <w:pPr>
              <w:jc w:val="center"/>
              <w:ind w:right="152"/>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4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123,501</w:t>
            </w:r>
          </w:p>
        </w:tc>
        <w:tc>
          <w:tcPr>
            <w:tcW w:w="0" w:type="dxa"/>
            <w:vAlign w:val="bottom"/>
          </w:tcPr>
          <w:p>
            <w:pPr>
              <w:spacing w:after="0"/>
              <w:rPr>
                <w:sz w:val="1"/>
                <w:szCs w:val="1"/>
                <w:color w:val="auto"/>
              </w:rPr>
            </w:pPr>
          </w:p>
        </w:tc>
      </w:tr>
      <w:tr>
        <w:trPr>
          <w:trHeight w:val="621"/>
        </w:trPr>
        <w:tc>
          <w:tcPr>
            <w:tcW w:w="7640" w:type="dxa"/>
            <w:vAlign w:val="bottom"/>
          </w:tcPr>
          <w:p>
            <w:pPr>
              <w:spacing w:after="0"/>
              <w:rPr>
                <w:sz w:val="20"/>
                <w:szCs w:val="20"/>
                <w:color w:val="auto"/>
              </w:rPr>
            </w:pPr>
            <w:r>
              <w:rPr>
                <w:rFonts w:ascii="Arial" w:cs="Arial" w:eastAsia="Arial" w:hAnsi="Arial"/>
                <w:sz w:val="18"/>
                <w:szCs w:val="18"/>
                <w:b w:val="1"/>
                <w:bCs w:val="1"/>
                <w:color w:val="auto"/>
              </w:rPr>
              <w:t>10.  Accrued Expenses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4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50,348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49,748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and customer advances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26,602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 plan obligations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Short-term finance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12,634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6.625% Senior notes, due September 2027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subsidiaries: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Amkor Technology Korea, Inc.:</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$30 million revolving credit facility, applicable bank rate plus 1.11% (1)</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Term loan, fixed rate at 1.80%, due May 2021 (2)</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applicable bank rate plus 1.77%, due April 2023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51,541</w:t>
            </w: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Term loan, applicable bank rate plus 1.98%, due December 2028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Amkor Technology Japan, Inc.:</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Short-term term loans, variable rate (3)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0.86%, due June 2022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Term loan, fixed rate at 0.60%, due July 2022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1.30%, due July 2023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138,499</w:t>
            </w: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Term loan, fixed rate at 1.35%, due December 2024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193,055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220,823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1.20%, due December 2025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LIBOR plus 1.60%, due March 2022</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Term loan, LIBOR plus 1.40%, due March 2022</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loans, LIBOR plus 1.10%, due March 2024 (4)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$250.0 million senior secured revolving credit facility, LIBOR plus 1.25% - 1.75%, due July 2023</w:t>
            </w:r>
          </w:p>
        </w:tc>
        <w:tc>
          <w:tcPr>
            <w:tcW w:w="2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(Singapore) (5)</w:t>
            </w:r>
          </w:p>
        </w:tc>
        <w:tc>
          <w:tcPr>
            <w:tcW w:w="2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Credit facility, TAIFX plus the applicable bank rate, due December 2024 (Taiwan) (6)</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1,164,302</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1,005,339</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2020, we renewed our revolving credit facility agreement for a one-year term with availability of $30.0 million. Principal is payable at maturity, six months after draw of funds, and interest is payable monthly in arrears. As of March 31, 2021, $30.0 million was available to be drawn.</w:t>
      </w:r>
    </w:p>
    <w:p>
      <w:pPr>
        <w:spacing w:after="0" w:line="150" w:lineRule="exact"/>
        <w:rPr>
          <w:rFonts w:ascii="Arial" w:cs="Arial" w:eastAsia="Arial" w:hAnsi="Arial"/>
          <w:sz w:val="18"/>
          <w:szCs w:val="18"/>
          <w:color w:val="auto"/>
        </w:rPr>
      </w:pPr>
    </w:p>
    <w:p>
      <w:pPr>
        <w:jc w:val="both"/>
        <w:ind w:left="660" w:hanging="328"/>
        <w:spacing w:after="0" w:line="272"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2020, we entered into a KRW ₩60 billion term loan agreement with the option to re-borrow the funds through May 2021. Principal is payable at maturity and interest is payable monthly in arrears, at a fixed rate of 1.80%. As of March 31, 2021, ₩60 billion, or approximately $53 million, was available to be drawn. In April 2021, we replaced this loan by entering into a ₩80 billion (approximately $72 million) term loan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with the option to borrow and re-borrow the funds through April 2024. Principal is payable at maturity, and interest is payable monthly, at a fixed rate of 1.85%.</w:t>
      </w:r>
    </w:p>
    <w:p>
      <w:pPr>
        <w:spacing w:after="0" w:line="116" w:lineRule="exact"/>
        <w:rPr>
          <w:sz w:val="20"/>
          <w:szCs w:val="20"/>
          <w:color w:val="auto"/>
        </w:rPr>
      </w:pPr>
    </w:p>
    <w:p>
      <w:pPr>
        <w:jc w:val="both"/>
        <w:ind w:left="660" w:hanging="328"/>
        <w:spacing w:after="0" w:line="263"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March 31, 2021 is at TIBOR plus 0.30% (weighted average of 0.38% as of March 31, 2021). As of March 31, 2021, $9.0 million was available to be drawn.</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We immediately borrowed $50.0 million to repay the term loans due March 2022. Interest is payable quarterly at LIBOR plus 1.10% (weighted average of 1.29% as of March 31, 2021).</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As of March 31, 2021, $250.0 million was available to be drawn.</w:t>
      </w:r>
    </w:p>
    <w:p>
      <w:pPr>
        <w:spacing w:after="0" w:line="13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2019, we entered into a $56.0 million borrowing arrangement. This arrangement included a $20.0 million term loan and a $36.0 million revolving credit facility. As of March 31, 2021, $36.0 million was available to be drawn.</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Amkor Technology, Inc. and Amkor Technology Singapore Holding Pte, Ltd. guarantee certain debt of our subsidiaries.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agreements governing our indebtedness contain affirmative and negative covenants which restrict our ability to pay dividends and could restrict our operations. These restrictions are determined in part by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March 31,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9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actuarial gain</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26"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23495</wp:posOffset>
            </wp:positionV>
            <wp:extent cx="2125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2" w:lineRule="exact"/>
        <w:rPr>
          <w:sz w:val="20"/>
          <w:szCs w:val="20"/>
          <w:color w:val="auto"/>
        </w:rPr>
      </w:pPr>
    </w:p>
    <w:p>
      <w:pPr>
        <w:ind w:left="8560"/>
        <w:spacing w:after="0"/>
        <w:tabs>
          <w:tab w:leader="none" w:pos="10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23495</wp:posOffset>
            </wp:positionV>
            <wp:extent cx="2125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spacing w:after="0"/>
        <w:tabs>
          <w:tab w:leader="none" w:pos="7900" w:val="left"/>
          <w:tab w:leader="none" w:pos="9020" w:val="left"/>
          <w:tab w:leader="none" w:pos="9620" w:val="left"/>
          <w:tab w:leader="none" w:pos="10740" w:val="left"/>
        </w:tabs>
        <w:rPr>
          <w:sz w:val="20"/>
          <w:szCs w:val="20"/>
          <w:color w:val="auto"/>
        </w:rPr>
      </w:pPr>
      <w:r>
        <w:rPr>
          <w:rFonts w:ascii="Arial" w:cs="Arial" w:eastAsia="Arial" w:hAnsi="Arial"/>
          <w:sz w:val="18"/>
          <w:szCs w:val="18"/>
          <w:color w:val="auto"/>
        </w:rPr>
        <w:t>Defined contribution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6,756</w:t>
        <w:tab/>
        <w:t>$</w:t>
      </w:r>
      <w:r>
        <w:rPr>
          <w:sz w:val="20"/>
          <w:szCs w:val="20"/>
          <w:color w:val="auto"/>
        </w:rPr>
        <w:tab/>
      </w:r>
      <w:r>
        <w:rPr>
          <w:rFonts w:ascii="Arial" w:cs="Arial" w:eastAsia="Arial" w:hAnsi="Arial"/>
          <w:sz w:val="15"/>
          <w:szCs w:val="15"/>
          <w:color w:val="auto"/>
        </w:rPr>
        <w:t>4,816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Derivatives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our foreign exchange forward contracts consisted of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March 31, 2021</w:t>
            </w: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Fair Value (Level</w:t>
            </w: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Fair Value (Level</w:t>
            </w:r>
          </w:p>
        </w:tc>
        <w:tc>
          <w:tcPr>
            <w:tcW w:w="17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8"/>
              </w:rPr>
              <w:t>Other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78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2021 and 2020, the derivatives resulted in a net loss of $34.9 million and $1.2 million respectively. The loss for the three months ended March 31, 2021 was fully offset by the foreign currency gains associated with the underlying net liabilities.</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 We also review goodwill for impairment annually during the fourth quarter of each year.</w:t>
      </w:r>
    </w:p>
    <w:p>
      <w:pPr>
        <w:spacing w:after="0" w:line="11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519,957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519,803</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634,543</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3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Restructuring and Other Exit Activities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part of our ongoing efforts to improve our manufacturing operations and manage costs, we regularly evaluate our staffing levels and facility requirements compared to business needs. The table below summarizes our exit activities associated with these efforts. “Charges” represents the initial charge related to the exit activity. “Cash Payments” consists of the utilization of “Charges.” “Non-cash Amounts” consists of translation adjustments.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2021, we recorded restructuring charges of $1.9 million associated with our Japan factory consolidation efforts. We recorded these charges to selling, general and administrative expenses within the Consolidated Statements of Income. All amounts accrued at March 31, 2021 are classified as current liabilities. We expect to complete these restructuring actions in the second quarter of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2020</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March 31, 2021</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3"/>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March 31, 2020</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the restructuring actions.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the restructuring actions.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end market where semiconductor content continues to grow and in the analog area for our mainstream wirebond technologies.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identify attractive opportunities to grow our customer base and expand the markets we serve through joint ventures, acquisitions and other strategic investments. We believe that taking advantage of these opportunities helps to diversify our revenue streams, improve our profits, broaden our portfolio of services and maintain our technological leadership.</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potential effect of the ongoing Covid-19 pandemic is unknown, and there remains uncertainty related to the ultimate impact that the Covid-19 pandemic will have on the global economy and our business, results of operations and financial condition. See Part II, Item 1A, including, “The Covid-19 Outbreak Has Impacted and May Continue to Impact the Supply Chain and Consumer Demand for Our Customers’ Products and Services, Which May Adversely Affect Our Business, Results of Operations, and Financial Condition” and “Dependence on the Highly Cyclical Semiconductor Industry - Our Packaging and Test Services Are Used in Volatile Industries and Industry Downturns, and Declines in Global Economic and Financial Conditions Could Harm Our Performance.”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March 31, 2021, we had cash and cash equivalents and short-term investments of $650.3 million and $163.7 million, respectively.</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nature of the semiconductor industry and other factors discussed in Part II, Item 1A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increased $173.5 million or 15.1% to $1,326.2 million for the three months ended March 31, 2021 from $1,152.6 million for the three months ended March 31, 2020. The increase was generally attributable to higher sales in the communications, computing and automotive and industrial end markets.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for the three months ended March 31, 2021 increased to 20.0% from 16.4% for the three months ended March 31, 2020. The increase in gross margin was primarily due to the increase in net sales and improved factory utilization as well as a change in the mix of products sold toward products with a lower material content, partially offset by unfavorable changes in foreign currency exchange rates.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totaled $110.4 million for the three months ended March 31, 2021, compared to $55.9 million for the three months ended March 31, 2020. Our spending was primarily focused on investments in advanced packaging and test equipment.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was $176.8 million for the three months ended March 31, 2021, compared to $96.6 million for the three months ended March 31, 2020. This increase was primarily due to higher net sales, higher operating profit, and changes in working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03"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8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r>
      <w:tr>
        <w:trPr>
          <w:trHeight w:val="211"/>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640" w:type="dxa"/>
            <w:vAlign w:val="bottom"/>
          </w:tcPr>
          <w:p>
            <w:pPr>
              <w:jc w:val="right"/>
              <w:spacing w:after="0"/>
              <w:rPr>
                <w:sz w:val="20"/>
                <w:szCs w:val="20"/>
                <w:color w:val="auto"/>
              </w:rPr>
            </w:pPr>
            <w:r>
              <w:rPr>
                <w:rFonts w:ascii="Arial" w:cs="Arial" w:eastAsia="Arial" w:hAnsi="Arial"/>
                <w:sz w:val="16"/>
                <w:szCs w:val="16"/>
                <w:color w:val="auto"/>
              </w:rPr>
              <w:t>43.2 %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45.3 %</w:t>
            </w:r>
          </w:p>
        </w:tc>
      </w:tr>
      <w:tr>
        <w:trPr>
          <w:trHeight w:val="21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1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64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24.1 %</w:t>
            </w:r>
          </w:p>
        </w:tc>
      </w:tr>
      <w:tr>
        <w:trPr>
          <w:trHeight w:val="21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1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640" w:type="dxa"/>
            <w:vAlign w:val="bottom"/>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3000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 w:lineRule="exact"/>
        <w:rPr>
          <w:sz w:val="20"/>
          <w:szCs w:val="20"/>
          <w:color w:val="auto"/>
        </w:rPr>
      </w:pPr>
    </w:p>
    <w:p>
      <w:pPr>
        <w:ind w:left="6920"/>
        <w:spacing w:after="0"/>
        <w:tabs>
          <w:tab w:leader="none" w:pos="8100" w:val="left"/>
          <w:tab w:leader="none" w:pos="98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3000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6520" w:val="left"/>
          <w:tab w:leader="none" w:pos="6880" w:val="left"/>
          <w:tab w:leader="none" w:pos="7720" w:val="left"/>
          <w:tab w:leader="none" w:pos="8080" w:val="left"/>
          <w:tab w:leader="none" w:pos="8920" w:val="left"/>
          <w:tab w:leader="none" w:pos="9460" w:val="left"/>
          <w:tab w:leader="none" w:pos="10740" w:val="left"/>
        </w:tabs>
        <w:rPr>
          <w:sz w:val="20"/>
          <w:szCs w:val="20"/>
          <w:color w:val="auto"/>
        </w:rPr>
      </w:pPr>
      <w:r>
        <w:rPr>
          <w:rFonts w:ascii="Arial" w:cs="Arial" w:eastAsia="Arial" w:hAnsi="Arial"/>
          <w:sz w:val="16"/>
          <w:szCs w:val="16"/>
          <w:color w:val="auto"/>
        </w:rPr>
        <w:t>Net sales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1,326,150</w:t>
        <w:tab/>
        <w:t>$</w:t>
      </w:r>
      <w:r>
        <w:rPr>
          <w:sz w:val="20"/>
          <w:szCs w:val="20"/>
          <w:color w:val="auto"/>
        </w:rPr>
        <w:tab/>
      </w:r>
      <w:r>
        <w:rPr>
          <w:rFonts w:ascii="Arial" w:cs="Arial" w:eastAsia="Arial" w:hAnsi="Arial"/>
          <w:sz w:val="16"/>
          <w:szCs w:val="16"/>
          <w:color w:val="auto"/>
        </w:rPr>
        <w:t>1,152,616</w:t>
        <w:tab/>
        <w:t>$</w:t>
      </w:r>
      <w:r>
        <w:rPr>
          <w:sz w:val="20"/>
          <w:szCs w:val="20"/>
          <w:color w:val="auto"/>
        </w:rPr>
        <w:tab/>
      </w:r>
      <w:r>
        <w:rPr>
          <w:rFonts w:ascii="Arial" w:cs="Arial" w:eastAsia="Arial" w:hAnsi="Arial"/>
          <w:sz w:val="16"/>
          <w:szCs w:val="16"/>
          <w:color w:val="auto"/>
        </w:rPr>
        <w:t>173,534</w:t>
      </w:r>
      <w:r>
        <w:rPr>
          <w:sz w:val="20"/>
          <w:szCs w:val="20"/>
          <w:color w:val="auto"/>
        </w:rPr>
        <w:tab/>
      </w:r>
      <w:r>
        <w:rPr>
          <w:rFonts w:ascii="Arial" w:cs="Arial" w:eastAsia="Arial" w:hAnsi="Arial"/>
          <w:sz w:val="14"/>
          <w:szCs w:val="14"/>
          <w:color w:val="auto"/>
        </w:rPr>
        <w:t>15.1 %</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sales for the three months ended March 31, 2021 compared to the three months ended March 31, 2020 was due to higher sales in the communications, computing and automotive and industrial end markets. The increase in the communications end market was driven primarily by the further adoption of 5G smartphones. The automotive and industrial market recovered during the latest quarter from the weakened demand relating to the Covid-19 pandemic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4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87"/>
        </w:trPr>
        <w:tc>
          <w:tcPr>
            <w:tcW w:w="7180" w:type="dxa"/>
            <w:vAlign w:val="bottom"/>
          </w:tcPr>
          <w:p>
            <w:pPr>
              <w:spacing w:after="0"/>
              <w:rPr>
                <w:sz w:val="16"/>
                <w:szCs w:val="16"/>
                <w:color w:val="auto"/>
              </w:rPr>
            </w:pPr>
          </w:p>
        </w:tc>
        <w:tc>
          <w:tcPr>
            <w:tcW w:w="158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jc w:val="center"/>
              <w:ind w:right="582"/>
              <w:spacing w:after="0"/>
              <w:rPr>
                <w:sz w:val="20"/>
                <w:szCs w:val="20"/>
                <w:color w:val="auto"/>
              </w:rPr>
            </w:pPr>
            <w:r>
              <w:rPr>
                <w:rFonts w:ascii="Arial" w:cs="Arial" w:eastAsia="Arial" w:hAnsi="Arial"/>
                <w:sz w:val="14"/>
                <w:szCs w:val="14"/>
                <w:b w:val="1"/>
                <w:bCs w:val="1"/>
                <w:color w:val="auto"/>
                <w:w w:val="96"/>
              </w:rPr>
              <w:t>2020</w:t>
            </w: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7180" w:type="dxa"/>
            <w:vAlign w:val="bottom"/>
          </w:tcPr>
          <w:p>
            <w:pPr>
              <w:spacing w:after="0"/>
              <w:rPr>
                <w:sz w:val="15"/>
                <w:szCs w:val="15"/>
                <w:color w:val="auto"/>
              </w:rPr>
            </w:pPr>
          </w:p>
        </w:tc>
        <w:tc>
          <w:tcPr>
            <w:tcW w:w="3140" w:type="dxa"/>
            <w:vAlign w:val="bottom"/>
            <w:gridSpan w:val="2"/>
          </w:tcPr>
          <w:p>
            <w:pPr>
              <w:jc w:val="center"/>
              <w:ind w:left="844"/>
              <w:spacing w:after="0"/>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Pr>
          <w:p>
            <w:pPr>
              <w:spacing w:after="0"/>
              <w:rPr>
                <w:sz w:val="15"/>
                <w:szCs w:val="15"/>
                <w:color w:val="auto"/>
              </w:rPr>
            </w:pPr>
          </w:p>
        </w:tc>
      </w:tr>
      <w:tr>
        <w:trPr>
          <w:trHeight w:val="217"/>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5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$265,534</w:t>
            </w:r>
          </w:p>
        </w:tc>
        <w:tc>
          <w:tcPr>
            <w:tcW w:w="15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$188,908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$76,626</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580" w:type="dxa"/>
            <w:vAlign w:val="bottom"/>
          </w:tcPr>
          <w:p>
            <w:pPr>
              <w:jc w:val="right"/>
              <w:ind w:right="244"/>
              <w:spacing w:after="0"/>
              <w:rPr>
                <w:sz w:val="20"/>
                <w:szCs w:val="20"/>
                <w:color w:val="auto"/>
              </w:rPr>
            </w:pPr>
            <w:r>
              <w:rPr>
                <w:rFonts w:ascii="Arial" w:cs="Arial" w:eastAsia="Arial" w:hAnsi="Arial"/>
                <w:sz w:val="16"/>
                <w:szCs w:val="16"/>
                <w:color w:val="auto"/>
              </w:rPr>
              <w:t>20.0 %</w:t>
            </w:r>
          </w:p>
        </w:tc>
        <w:tc>
          <w:tcPr>
            <w:tcW w:w="1560" w:type="dxa"/>
            <w:vAlign w:val="bottom"/>
          </w:tcPr>
          <w:p>
            <w:pPr>
              <w:jc w:val="right"/>
              <w:ind w:right="402"/>
              <w:spacing w:after="0"/>
              <w:rPr>
                <w:sz w:val="20"/>
                <w:szCs w:val="20"/>
                <w:color w:val="auto"/>
              </w:rPr>
            </w:pPr>
            <w:r>
              <w:rPr>
                <w:rFonts w:ascii="Arial" w:cs="Arial" w:eastAsia="Arial" w:hAnsi="Arial"/>
                <w:sz w:val="16"/>
                <w:szCs w:val="16"/>
                <w:color w:val="auto"/>
              </w:rPr>
              <w:t>16.4 %</w:t>
            </w:r>
          </w:p>
        </w:tc>
        <w:tc>
          <w:tcPr>
            <w:tcW w:w="920" w:type="dxa"/>
            <w:vAlign w:val="bottom"/>
          </w:tcPr>
          <w:p>
            <w:pPr>
              <w:jc w:val="right"/>
              <w:spacing w:after="0"/>
              <w:rPr>
                <w:sz w:val="20"/>
                <w:szCs w:val="20"/>
                <w:color w:val="auto"/>
              </w:rPr>
            </w:pPr>
            <w:r>
              <w:rPr>
                <w:rFonts w:ascii="Arial" w:cs="Arial" w:eastAsia="Arial" w:hAnsi="Arial"/>
                <w:sz w:val="16"/>
                <w:szCs w:val="16"/>
                <w:color w:val="auto"/>
              </w:rPr>
              <w:t>3.6 %</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increased for the three months ended March 31, 2021 compared to the three months ended March 31, 2020, primarily due to the increase in net sales and improved factory utilization as well as a change in the mix of products sold toward products with a lower material content, partially offset by unfavorable changes in foreign currency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660" w:type="dxa"/>
            <w:vAlign w:val="bottom"/>
            <w:tcBorders>
              <w:bottom w:val="single" w:sz="8" w:color="auto"/>
            </w:tcBorders>
          </w:tcPr>
          <w:p>
            <w:pPr>
              <w:spacing w:after="0"/>
              <w:rPr>
                <w:sz w:val="16"/>
                <w:szCs w:val="16"/>
                <w:color w:val="auto"/>
              </w:rPr>
            </w:pPr>
          </w:p>
        </w:tc>
      </w:tr>
      <w:tr>
        <w:trPr>
          <w:trHeight w:val="187"/>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20" w:type="dxa"/>
            <w:vAlign w:val="bottom"/>
            <w:gridSpan w:val="4"/>
          </w:tcPr>
          <w:p>
            <w:pPr>
              <w:jc w:val="center"/>
              <w:ind w:right="284"/>
              <w:spacing w:after="0"/>
              <w:rPr>
                <w:sz w:val="20"/>
                <w:szCs w:val="20"/>
                <w:color w:val="auto"/>
              </w:rPr>
            </w:pPr>
            <w:r>
              <w:rPr>
                <w:rFonts w:ascii="Arial" w:cs="Arial" w:eastAsia="Arial" w:hAnsi="Arial"/>
                <w:sz w:val="14"/>
                <w:szCs w:val="14"/>
                <w:b w:val="1"/>
                <w:bCs w:val="1"/>
                <w:color w:val="auto"/>
                <w:w w:val="90"/>
              </w:rPr>
              <w:t>(In thousands, except percentages)</w:t>
            </w:r>
          </w:p>
        </w:tc>
        <w:tc>
          <w:tcPr>
            <w:tcW w:w="660" w:type="dxa"/>
            <w:vAlign w:val="bottom"/>
          </w:tcPr>
          <w:p>
            <w:pPr>
              <w:spacing w:after="0"/>
              <w:rPr>
                <w:sz w:val="15"/>
                <w:szCs w:val="15"/>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76,768</w:t>
            </w:r>
          </w:p>
        </w:tc>
        <w:tc>
          <w:tcPr>
            <w:tcW w:w="3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72,582</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4,186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2021 increased compared to the three months ended March 31, 2020, primarily due to increased employee compensation costs and professional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26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00" w:type="dxa"/>
            <w:vAlign w:val="bottom"/>
            <w:tcBorders>
              <w:bottom w:val="single" w:sz="8" w:color="auto"/>
            </w:tcBorders>
          </w:tcPr>
          <w:p>
            <w:pPr>
              <w:spacing w:after="0"/>
              <w:rPr>
                <w:sz w:val="16"/>
                <w:szCs w:val="16"/>
                <w:color w:val="auto"/>
              </w:rPr>
            </w:pPr>
          </w:p>
        </w:tc>
      </w:tr>
      <w:tr>
        <w:trPr>
          <w:trHeight w:val="187"/>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80" w:type="dxa"/>
            <w:vAlign w:val="bottom"/>
            <w:gridSpan w:val="4"/>
          </w:tcPr>
          <w:p>
            <w:pPr>
              <w:jc w:val="center"/>
              <w:ind w:right="244"/>
              <w:spacing w:after="0"/>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15"/>
                <w:szCs w:val="15"/>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44,318</w:t>
            </w:r>
          </w:p>
        </w:tc>
        <w:tc>
          <w:tcPr>
            <w:tcW w:w="3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32,253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64"/>
              <w:spacing w:after="0"/>
              <w:rPr>
                <w:sz w:val="20"/>
                <w:szCs w:val="20"/>
                <w:color w:val="auto"/>
              </w:rPr>
            </w:pPr>
            <w:r>
              <w:rPr>
                <w:rFonts w:ascii="Arial" w:cs="Arial" w:eastAsia="Arial" w:hAnsi="Arial"/>
                <w:sz w:val="16"/>
                <w:szCs w:val="16"/>
                <w:color w:val="auto"/>
              </w:rPr>
              <w:t>12,065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37.4 %</w:t>
            </w: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months ended March 31, 2021 increased compared to the three months ended March 31, 2020 due to new development projects in advanced technologies, primarily advanced System-in-Package modules.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80" w:type="dxa"/>
            <w:vAlign w:val="bottom"/>
            <w:tcBorders>
              <w:bottom w:val="single" w:sz="8" w:color="auto"/>
            </w:tcBorders>
          </w:tcPr>
          <w:p>
            <w:pPr>
              <w:spacing w:after="0"/>
              <w:rPr>
                <w:sz w:val="16"/>
                <w:szCs w:val="16"/>
                <w:color w:val="auto"/>
              </w:rPr>
            </w:pPr>
          </w:p>
        </w:tc>
      </w:tr>
      <w:tr>
        <w:trPr>
          <w:trHeight w:val="187"/>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(In thousands, except percentages)</w:t>
            </w:r>
          </w:p>
        </w:tc>
        <w:tc>
          <w:tcPr>
            <w:tcW w:w="780" w:type="dxa"/>
            <w:vAlign w:val="bottom"/>
          </w:tcPr>
          <w:p>
            <w:pPr>
              <w:spacing w:after="0"/>
              <w:rPr>
                <w:sz w:val="15"/>
                <w:szCs w:val="15"/>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1,979</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 loss,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(428)</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6640" w:type="dxa"/>
            <w:vAlign w:val="bottom"/>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12,762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14,730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(1,968)</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for the three months ended March 31, 2021 compared to the three months ended March 31, 2020, primarily due to the overall decrease in our outstanding debt.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for the three months ended March 31, 2021 compared to the three months ended March 31, 2020, primarily due to lower interest rates in the overall market.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center"/>
              <w:ind w:right="184"/>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87"/>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Change</w:t>
            </w:r>
          </w:p>
        </w:tc>
      </w:tr>
      <w:tr>
        <w:trPr>
          <w:trHeight w:val="183"/>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11,667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4,846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w:t>
            </w: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months ended March 31, 2021 compared to the three months ended March 31, 2020, primarily due to the increase in income before tax.</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and 2020,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We refer you to Note 7 and Note 11 to our Consolidated Financial Statements in Part 1, Item 1 of this Quarterly Report on Form 10-Q for additional information on our investments and borrowings, respectively.</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we had cash and cash equivalents and short-term investments of $814.0 million. Included in our cash and short-term investments balances as of March 31, 2021, is $664.8 million held offshore by our foreign subsidiaries. We have the ability to access cash held offshore by our foreign subsidiaries primarily through the repayment of intercompany debt obligations. Due to the changes in the U.S. tax law under the Tax Cuts and Jobs Act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conditions and changes in the credit worthiness of customers. For the three months ended March 31, 2021 and 2020, we sold accounts receivable totaling $106.3 million and $170.5 million, net of discounts and fees of $0.2 million and $1.0 million, respectively.</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 base under our $250.0 million first lien senior secured revolving credit facility entered into by our subsidiary, Amkor Technology Singapore Holding Pte, Ltd. (the “Singapore Revolver”), is limited to the amount of eligible accounts receivable. As of March 31, 2021, we had availability of $250.0 million and no outstanding standby letters of credit. As of March 31, 2021, our foreign subsidiaries had $316.0 million available to be drawn under revolving credit facilities, including the Singapore Revolver, and $62.0 million available to be borrowed under term loan credit facilities for working capital purposes and capital expenditures.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we had $1.1 billion of debt. Our scheduled principal repayments on debt include $103.2 million due over the remainder of 2021, $131.2 million due in 2022, $163.0 million due in 2023, $120.3 million due in 2024, $26.0 million due in 2025, and $553.3 million due thereafter. We were in compliance with all debt covenants at March 31, 2021, and we expect to remain in compliance with these covenants for at least the next twelve months.</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debt agreements have restrictions on dividend payments and the repurchase of stock and subordinated securities. These restrictions are determined in part by our covenant compliance and on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Amkor Technology, Inc. and Amkor Technology Singapore Holding Pte, Ltd. also guarantee certain debt of our subsidiaries.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March 31, 2021, the severance liability was $95.1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the company to fund the converted portion of the liability.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We paid a quarterly dividend of $0.04 per share representing a dividend payment of $9.7 million in the aggregate, on March 15, 2021 to stockholders of record as of February 23, 2021.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March 31, 2021,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2021 capital expenditures to be approximately $700 million. During the three months ended March 31, 2021, our capital expenditures totaled $110.4 million. Ultimately, the amount of our 2021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three months ended March 31, 2021 and 2020,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87"/>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176,788</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96,589</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(164,372)</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(104,592)</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(49,444)</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55,095</w:t>
            </w: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cash flow provided by operating activities for the three months ended March 31, 2021 increased by $80.2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2020, primarily due to higher net sales, higher operating profit, and changes in working capital.</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 used in investing activities for the three months ended March 31, 2021 increased by $59.8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primarily due to increases in purchases of property, plant, and equipment, purchases of investments and net payments on foreign exchange forward contracts, partially offset by proceeds from sales and maturities of investments. Payments for property, plant and equipment can fluctuate based on timing of purchase, receipt and acceptance of equipment.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used in financing activities for the three months ended March 31, 2021 was primarily due to net debt repayments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Japan and the payment of our quarterly dividends. The net cash provided by financing activities for the three months ended March 31, 2020 was primarily due to the draw downs of our Singapore and Taiwan revolvers, partially offset by net repayment of debt in Korea.</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96,589</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(110,351)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(55,888)</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3"/>
        </w:trPr>
        <w:tc>
          <w:tcPr>
            <w:tcW w:w="790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42,588</w:t>
            </w:r>
          </w:p>
        </w:tc>
      </w:tr>
      <w:tr>
        <w:trPr>
          <w:trHeight w:val="21"/>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2021 and the effect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Payments Due for 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2021 -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1,096,897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553,285</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250,552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39,464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476,447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139,700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17,011</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55,019</w:t>
            </w:r>
          </w:p>
        </w:tc>
        <w:tc>
          <w:tcPr>
            <w:tcW w:w="0" w:type="dxa"/>
            <w:vAlign w:val="bottom"/>
          </w:tcPr>
          <w:p>
            <w:pPr>
              <w:spacing w:after="0"/>
              <w:rPr>
                <w:sz w:val="1"/>
                <w:szCs w:val="1"/>
                <w:color w:val="auto"/>
              </w:rPr>
            </w:pPr>
          </w:p>
        </w:tc>
      </w:tr>
      <w:tr>
        <w:trPr>
          <w:trHeight w:val="211"/>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2,082,827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629,262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243,853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180,529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79,373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701,836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March 31, 2021, for variable rate debt.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March 31, 2021.</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March 31, 2021 include:</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$61.5 million of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$30.0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refer you to Note 15 to our Consolidated Financial Statements in Part I, Item 1 of this Quarterly Report on Form 10-Q for a discussion of our contingencies related to litigation and other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 for the year ended December 31, 2020. During the three months ended March 31, 2021, there were no significant changes in our critical accounting policies as reported in our 2020 Annual Report on Form 10-K.</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2021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three months ended March 31, 2021 would have been approximately $8 million lower, due to the remeasurement of monetary assets and liabilities.</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three months ended March 31, 2021, approximately 80% of our net sales were denominated in U.S. dollars. Our remaining net sales were principally denominated in Japanese Yen. For the three months ended March 31, 2021, approximately 45%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2021 to assess the potential impact of fluctuations in exchange rates for all foreign denominated sales and operating expenses. Assuming that all foreign currencies appreciated 10% against the U.S. dollar, our operating income for the three months ended March 31, 2021 would have been approximately $29 million lower.</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$11.4 million for the three months ended March 31, 2021 and a gain of $0.5 million for the three months ended March 31, 2020, and was recognized as an adjustment to equity through other comprehensive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Quarterly Report on Form 10-Q.</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March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2021 -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w w:val="82"/>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9"/>
              </w:rPr>
              <w:t>Fair Value</w:t>
            </w:r>
          </w:p>
        </w:tc>
      </w:tr>
      <w:tr>
        <w:trPr>
          <w:trHeight w:val="170"/>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 debt</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97,549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129,151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111,537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76,313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25,975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993,810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1,039,369</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rate debt</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51,474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44,000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103,087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104,185</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103,162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131,151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163,011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120,313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25,975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1,096,897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1,143,554</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information regarding the fair value of our long-term debt, see Note 14 to our Consolidated Financial Statements in Part I, Item 1 of this Quarterly Report on Form 10-Q.</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2021 and concluded those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Quarterly Report on Form 10-Q and in Note 17 to our Annual Report on Form 10-K for the year ended December 31, 2020.</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Many of the following risks and uncertainties are, and will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risks and uncertainties described below could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II, Item 1A of this Quarterly Report on Form 10-Q under the caption “Risk Factors” (not just those discussed under “Summary of Risk Factors”) in considering our business and prospects. The following is a list of some of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 and vulnerability to industry downturns and declines in global economic and financial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by our integrated device manufacturer and foundry customers to curtail outsourcing;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achieving the relatively high capacity utilization rates necessary to realize satisfactory gross margins given our high percentage of fixed costs;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0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restrictive covenants in the indentures and agreements governing our current and future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significant severance plan obligations associated with our manufacturing operations in Korea;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107"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7"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58"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end market in 2020, and during 2019 there was weakness in the general market and an inventory correction in the smartphone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 Although the magnitude of any potential future impact of the Covid-19 pandemic on our business and operations remains uncertain, the continued spread, new variants or potential re-emergence of Covid-19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pandemics or other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demand resulting from variations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the Philippines and Malaysia. Other national, regional and local governments have implemented and may continue to implement similar restrictions to mitigate the spread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or foundries for packaging and test services, or that our business, liquidity, results of operations, financial condition and cash flows will not be adversely affected by such increased competition.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Historically, we have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Dependence on Materials and Equipment Suppliers - Our Business May Suffer If the Cost, Quality or Supply of Materials or Equipment Changes Adversely.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have a negative impact on our business. The actions that government authorities and businesses worldwide have taken in response to Covid-19 have resulted in, to date, limited business disruption, including delays in shipments of equipment, supplies and other materials. To the extent the impact of Covid-19 continues or worsens, we may have greater difficulty obtaining the equipment, supplies and other materials necessary for performance of our services. Furthermore, fire, severe weather,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it could adversely affect our business as some customers may move their business to other suppliers, and our reputation could also be adversely affected.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 capacity utilization, and if we fail to do so, our gross margins will be negatively impacted.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adversely impact our business, liquidity, results of operations, financial condition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business does not typically operate with any material backlog. Our quarterly net sales from packaging and test services are substantially dependent upon our customers’ demand in that quarter. Generally, none of our customers have committed to purchase any significant amount of packaging or test services or to provide us with binding forecasts of demand for packaging and test services for any future period, in any material amount.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obsolete. If we cannot achieve advances in packaging design or obtain access to advanced packaging designs developed by others, our business could suffer.</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anticipate the payment of a regular quarterly cash dividend of $0.04 per share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subsidiary in Korea maintains an unfunded severance plan, under which we have an accrued liability of $95.1 million as of March 31, 2021.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From time to time, we may offer some or all of the covered employees the option to convert from the severance plan to the defined contribution plan, which could impact the timing of future payments, reducing our cash flow and negatively affecting our financial condition. As recently as October 2020, some employees accepted our offer to convert their Korean severance plan participation to a defined contribution plan.</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2021, Mr. James J. Kim, the Executive Chairman of our Board of Directors, Ms. Susan Y. Kim, the Executive Vice Chairman of our Board of Directors, and members of the Kim family and affiliates owned approximately 141.9 million shares, or approximately 58%, of our outstanding common stock. The Kim family also has options to acquire approximately 0.6 million shares. If the options are exercised, the Kim family’s total ownership would be an aggregate of approximately 142.5 million shares of our outstanding common stock or approximately 58% of our outstanding common stock.</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8"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The Covid-19 Outbreak Has Impacted and May Continue to Impact the Supply Chain and Consumer Demand for Our Customers’ Products and Services, Which May Adversely Affect Our Business, Results of Operations, and Financial Condition.</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may continue to be adversely impacted by the effects of the Covid-19 outbreak.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Covid-19 on our suppliers or customers or both.</w:t>
      </w:r>
    </w:p>
    <w:p>
      <w:pPr>
        <w:spacing w:after="0" w:line="13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Covid-19, and our ability to perform critical functions could be harmed.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are unable to predict the future impacts that Covid-19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March 31, 2021, our total debt balance was $1.1 billion, of which $135.4 million was classified as a current liability and $436.1 million was collateralized indebtedness at our subsidiaries. We may consider investments in joint ventures, increased capital expenditures, refinancings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acquisitions which may increase our indebtedness. If new debt is added to our consolidated debt level, the related risks that we face could intensify.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The United Kingdom’s Financial Conduct Authority intends to phase out LIBOR by July 2023. Plans for alternative reference rates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 and other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levels, other uses of our cash including any payments of dividends and purchases of stock under any stock repurchase program, any acquisitions or investments in joint ventures and our ability to either repay debt and other long-term obligations out of our operating cash flows or refinance debt at or prior to maturity with the proceeds of debt or equity financings.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2021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65% of our net sales for the year ended December 31, 2020.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w:t>
      </w:r>
      <w:r>
        <w:rPr>
          <w:rFonts w:ascii="Arial" w:cs="Arial" w:eastAsia="Arial" w:hAnsi="Arial"/>
          <w:sz w:val="16"/>
          <w:szCs w:val="16"/>
          <w:color w:val="090909"/>
        </w:rPr>
        <w:t>In addition, in May 2017, we completed our acquisition of Nanium and</w:t>
      </w:r>
      <w:r>
        <w:rPr>
          <w:rFonts w:ascii="Arial" w:cs="Arial" w:eastAsia="Arial" w:hAnsi="Arial"/>
          <w:sz w:val="16"/>
          <w:szCs w:val="16"/>
          <w:color w:val="auto"/>
        </w:rPr>
        <w:t xml:space="preserve"> continue </w:t>
      </w:r>
      <w:r>
        <w:rPr>
          <w:rFonts w:ascii="Arial" w:cs="Arial" w:eastAsia="Arial" w:hAnsi="Arial"/>
          <w:sz w:val="16"/>
          <w:szCs w:val="16"/>
          <w:color w:val="090909"/>
        </w:rPr>
        <w:t>to integrate its</w:t>
      </w:r>
      <w:r>
        <w:rPr>
          <w:rFonts w:ascii="Arial" w:cs="Arial" w:eastAsia="Arial" w:hAnsi="Arial"/>
          <w:sz w:val="16"/>
          <w:szCs w:val="16"/>
          <w:color w:val="auto"/>
        </w:rPr>
        <w:t xml:space="preserve"> </w:t>
      </w:r>
      <w:r>
        <w:rPr>
          <w:rFonts w:ascii="Arial" w:cs="Arial" w:eastAsia="Arial" w:hAnsi="Arial"/>
          <w:sz w:val="16"/>
          <w:szCs w:val="16"/>
          <w:color w:val="090909"/>
        </w:rPr>
        <w:t xml:space="preserve">information </w:t>
      </w:r>
      <w:r>
        <w:rPr>
          <w:rFonts w:ascii="Arial" w:cs="Arial" w:eastAsia="Arial" w:hAnsi="Arial"/>
          <w:sz w:val="16"/>
          <w:szCs w:val="16"/>
          <w:color w:val="000000"/>
        </w:rPr>
        <w:t>technology</w:t>
      </w:r>
      <w:r>
        <w:rPr>
          <w:rFonts w:ascii="Arial" w:cs="Arial" w:eastAsia="Arial" w:hAnsi="Arial"/>
          <w:sz w:val="16"/>
          <w:szCs w:val="16"/>
          <w:color w:val="090909"/>
        </w:rPr>
        <w:t xml:space="preserve"> systems into our existing systems and processes. </w:t>
      </w:r>
      <w:r>
        <w:rPr>
          <w:rFonts w:ascii="Arial" w:cs="Arial" w:eastAsia="Arial" w:hAnsi="Arial"/>
          <w:sz w:val="16"/>
          <w:szCs w:val="16"/>
          <w:color w:val="000000"/>
        </w:rPr>
        <w:t>We face risks in connection with current and future projects to install or integrate</w:t>
      </w:r>
      <w:r>
        <w:rPr>
          <w:rFonts w:ascii="Arial" w:cs="Arial" w:eastAsia="Arial" w:hAnsi="Arial"/>
          <w:sz w:val="16"/>
          <w:szCs w:val="16"/>
          <w:color w:val="090909"/>
        </w:rPr>
        <w:t xml:space="preserve"> </w:t>
      </w:r>
      <w:r>
        <w:rPr>
          <w:rFonts w:ascii="Arial" w:cs="Arial" w:eastAsia="Arial" w:hAnsi="Arial"/>
          <w:sz w:val="16"/>
          <w:szCs w:val="16"/>
          <w:color w:val="000000"/>
        </w:rPr>
        <w:t>new information technology systems or upgrade our existing systems. These risks include:</w:t>
      </w:r>
    </w:p>
    <w:p>
      <w:pPr>
        <w:spacing w:after="0" w:line="1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a disruption, failure or breach of our information technology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U.S. or foreign tax laws, including new or modified guidance with respect to existing tax laws (particularly the Tax Act, which made significant changes to the U.S. tax code with respect to which there remains uncertainty), could have a material adverse impact on our liquidity, results of operations, financial condition and cash flows.</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March 31, 2021.</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w w:val="92"/>
              </w:rPr>
              <w:t>Total Number of Shares</w:t>
            </w:r>
          </w:p>
        </w:tc>
        <w:tc>
          <w:tcPr>
            <w:tcW w:w="1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w:t>
            </w: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3"/>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230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2"/>
              </w:rPr>
              <w:t>Purchased (a)</w:t>
            </w: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Share ($)</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24"/>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 January 31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February 1 - February 28</w:t>
            </w:r>
          </w:p>
        </w:tc>
        <w:tc>
          <w:tcPr>
            <w:tcW w:w="1940" w:type="dxa"/>
            <w:vAlign w:val="bottom"/>
          </w:tcPr>
          <w:p>
            <w:pPr>
              <w:jc w:val="right"/>
              <w:spacing w:after="0"/>
              <w:rPr>
                <w:sz w:val="20"/>
                <w:szCs w:val="20"/>
                <w:color w:val="auto"/>
              </w:rPr>
            </w:pPr>
            <w:r>
              <w:rPr>
                <w:rFonts w:ascii="Arial" w:cs="Arial" w:eastAsia="Arial" w:hAnsi="Arial"/>
                <w:sz w:val="18"/>
                <w:szCs w:val="18"/>
                <w:color w:val="auto"/>
              </w:rPr>
              <w:t>50,505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 March 31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shares issued to employees in connection with share based compensation.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previously authorized the repurchase of up to $300.0 million of our common stock, $150.0 million was approved in August 2011 and $150.0 million was approved in February 2012, exclusive of any fees, commissions or other expenses. Pursuant to the stock repurchase programs, we made no common stock purchases for the three months ended March 31, 2021, and at March 31, 2021, approximately $91.6 million was available for repurchase.</w:t>
      </w: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gridSpan w:val="11"/>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8"/>
              </w:rPr>
              <w:t>Incorporated by Reference</w:t>
            </w:r>
          </w:p>
        </w:tc>
        <w:tc>
          <w:tcPr>
            <w:tcW w:w="2040" w:type="dxa"/>
            <w:vAlign w:val="bottom"/>
            <w:tcBorders>
              <w:bottom w:val="single" w:sz="8" w:color="auto"/>
            </w:tcBorders>
          </w:tcPr>
          <w:p>
            <w:pPr>
              <w:jc w:val="center"/>
              <w:ind w:left="993"/>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jc w:val="right"/>
              <w:ind w:right="310"/>
              <w:spacing w:after="0" w:line="122" w:lineRule="exact"/>
              <w:rPr>
                <w:sz w:val="20"/>
                <w:szCs w:val="20"/>
                <w:color w:val="auto"/>
              </w:rPr>
            </w:pPr>
            <w:r>
              <w:rPr>
                <w:rFonts w:ascii="Arial" w:cs="Arial" w:eastAsia="Arial" w:hAnsi="Arial"/>
                <w:sz w:val="14"/>
                <w:szCs w:val="14"/>
                <w:b w:val="1"/>
                <w:bCs w:val="1"/>
                <w:color w:val="auto"/>
              </w:rPr>
              <w:t>Exhibit</w:t>
            </w:r>
          </w:p>
        </w:tc>
        <w:tc>
          <w:tcPr>
            <w:tcW w:w="5060" w:type="dxa"/>
            <w:vAlign w:val="bottom"/>
            <w:gridSpan w:val="10"/>
            <w:vMerge w:val="restart"/>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Number</w:t>
            </w:r>
          </w:p>
        </w:tc>
        <w:tc>
          <w:tcPr>
            <w:tcW w:w="5060" w:type="dxa"/>
            <w:vAlign w:val="bottom"/>
            <w:tcBorders>
              <w:bottom w:val="single" w:sz="8" w:color="auto"/>
            </w:tcBorders>
            <w:gridSpan w:val="10"/>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line="184" w:lineRule="exact"/>
              <w:rPr>
                <w:sz w:val="20"/>
                <w:szCs w:val="20"/>
                <w:color w:val="auto"/>
              </w:rPr>
            </w:pPr>
            <w:r>
              <w:rPr>
                <w:rFonts w:ascii="Arial" w:cs="Arial" w:eastAsia="Arial" w:hAnsi="Arial"/>
                <w:sz w:val="18"/>
                <w:szCs w:val="18"/>
                <w:color w:val="auto"/>
                <w:w w:val="91"/>
              </w:rPr>
              <w:t>31.1</w:t>
            </w:r>
          </w:p>
        </w:tc>
        <w:tc>
          <w:tcPr>
            <w:tcW w:w="5060" w:type="dxa"/>
            <w:vAlign w:val="bottom"/>
            <w:gridSpan w:val="10"/>
          </w:tcPr>
          <w:p>
            <w:pPr>
              <w:spacing w:after="0" w:line="184" w:lineRule="exact"/>
              <w:rPr>
                <w:rFonts w:ascii="Arial" w:cs="Arial" w:eastAsia="Arial" w:hAnsi="Arial"/>
                <w:sz w:val="18"/>
                <w:szCs w:val="18"/>
                <w:color w:val="0000FF"/>
              </w:rPr>
            </w:pPr>
            <w:hyperlink w:anchor="page49">
              <w:r>
                <w:rPr>
                  <w:rFonts w:ascii="Arial" w:cs="Arial" w:eastAsia="Arial" w:hAnsi="Arial"/>
                  <w:sz w:val="18"/>
                  <w:szCs w:val="18"/>
                  <w:color w:val="0000FF"/>
                </w:rPr>
                <w:t>Certification of Guillaume Marie Jean Rutten, Chief Executive</w:t>
              </w:r>
            </w:hyperlink>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3"/>
              <w:spacing w:after="0" w:line="184"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40" w:type="dxa"/>
            <w:vAlign w:val="bottom"/>
            <w:tcBorders>
              <w:top w:val="single" w:sz="8" w:color="0000FF"/>
            </w:tcBorders>
            <w:gridSpan w:val="4"/>
          </w:tcPr>
          <w:p>
            <w:pPr>
              <w:spacing w:after="0" w:line="15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Officer of Amkor Technology, Inc., Pursuant to Rule 13a-14(a)</w:t>
              </w:r>
            </w:hyperlink>
          </w:p>
        </w:tc>
        <w:tc>
          <w:tcPr>
            <w:tcW w:w="520" w:type="dxa"/>
            <w:vAlign w:val="bottom"/>
            <w:gridSpan w:val="6"/>
          </w:tcPr>
          <w:p>
            <w:pPr>
              <w:ind w:left="60"/>
              <w:spacing w:after="0" w:line="156" w:lineRule="exact"/>
              <w:rPr>
                <w:rFonts w:ascii="Arial" w:cs="Arial" w:eastAsia="Arial" w:hAnsi="Arial"/>
                <w:sz w:val="18"/>
                <w:szCs w:val="18"/>
                <w:color w:val="0000FF"/>
                <w:w w:val="95"/>
              </w:rPr>
            </w:pPr>
            <w:hyperlink w:anchor="page49">
              <w:r>
                <w:rPr>
                  <w:rFonts w:ascii="Arial" w:cs="Arial" w:eastAsia="Arial" w:hAnsi="Arial"/>
                  <w:sz w:val="18"/>
                  <w:szCs w:val="18"/>
                  <w:color w:val="0000FF"/>
                  <w:w w:val="95"/>
                </w:rPr>
                <w:t>under</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the Securities Exchange Act of 1934, as amended.</w:t>
              </w:r>
            </w:hyperlink>
          </w:p>
        </w:tc>
        <w:tc>
          <w:tcPr>
            <w:tcW w:w="138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31.2</w:t>
            </w:r>
          </w:p>
        </w:tc>
        <w:tc>
          <w:tcPr>
            <w:tcW w:w="5060" w:type="dxa"/>
            <w:vAlign w:val="bottom"/>
            <w:gridSpan w:val="1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Megan Faust, Chief Financial Officer of Amkor</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Technology, Inc., Pursuant to Rule 13a-14(a) under the Securities</w:t>
              </w:r>
            </w:hyperlink>
          </w:p>
        </w:tc>
        <w:tc>
          <w:tcPr>
            <w:tcW w:w="120" w:type="dxa"/>
            <w:vAlign w:val="bottom"/>
            <w:tcBorders>
              <w:bottom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0" w:type="dxa"/>
            <w:vAlign w:val="bottom"/>
            <w:tcBorders>
              <w:bottom w:val="single" w:sz="8" w:color="0000FF"/>
            </w:tcBorders>
          </w:tcPr>
          <w:p>
            <w:pPr>
              <w:spacing w:after="0" w:line="156" w:lineRule="exact"/>
              <w:rPr>
                <w:rFonts w:ascii="Arial" w:cs="Arial" w:eastAsia="Arial" w:hAnsi="Arial"/>
                <w:sz w:val="18"/>
                <w:szCs w:val="18"/>
                <w:color w:val="0000FF"/>
                <w:w w:val="88"/>
              </w:rPr>
            </w:pPr>
            <w:hyperlink w:anchor="page50">
              <w:r>
                <w:rPr>
                  <w:rFonts w:ascii="Arial" w:cs="Arial" w:eastAsia="Arial" w:hAnsi="Arial"/>
                  <w:sz w:val="18"/>
                  <w:szCs w:val="18"/>
                  <w:color w:val="0000FF"/>
                  <w:w w:val="88"/>
                </w:rPr>
                <w:t>Exchange Act of 1934, as amended.</w:t>
              </w:r>
            </w:hyperlink>
          </w:p>
        </w:tc>
        <w:tc>
          <w:tcPr>
            <w:tcW w:w="212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5060" w:type="dxa"/>
            <w:vAlign w:val="bottom"/>
            <w:gridSpan w:val="10"/>
          </w:tcPr>
          <w:p>
            <w:pPr>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Certification of Chief Executive Officer and Chief Financial Officer</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20" w:type="dxa"/>
            <w:vAlign w:val="bottom"/>
            <w:tcBorders>
              <w:top w:val="single" w:sz="8" w:color="0000FF"/>
            </w:tcBorders>
            <w:gridSpan w:val="8"/>
          </w:tcPr>
          <w:p>
            <w:pPr>
              <w:spacing w:after="0" w:line="15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pursuant to 18 U.S.C. Section 1350, as Adopted Pursuant to Section</w:t>
              </w:r>
            </w:hyperlink>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906 of the Sarbanes-Oxley Act of 2002.</w:t>
              </w:r>
            </w:hyperlink>
          </w:p>
        </w:tc>
        <w:tc>
          <w:tcPr>
            <w:tcW w:w="2020" w:type="dxa"/>
            <w:vAlign w:val="bottom"/>
            <w:tcBorders>
              <w:top w:val="single" w:sz="8" w:color="0000FF"/>
            </w:tcBorders>
            <w:gridSpan w:val="5"/>
          </w:tcPr>
          <w:p>
            <w:pPr>
              <w:spacing w:after="0"/>
              <w:rPr>
                <w:sz w:val="13"/>
                <w:szCs w:val="13"/>
                <w:color w:val="auto"/>
              </w:rPr>
            </w:pPr>
          </w:p>
        </w:tc>
        <w:tc>
          <w:tcPr>
            <w:tcW w:w="1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101.INS</w:t>
            </w:r>
          </w:p>
        </w:tc>
        <w:tc>
          <w:tcPr>
            <w:tcW w:w="5060" w:type="dxa"/>
            <w:vAlign w:val="bottom"/>
            <w:gridSpan w:val="10"/>
          </w:tcPr>
          <w:p>
            <w:pPr>
              <w:spacing w:after="0" w:line="196" w:lineRule="exact"/>
              <w:rPr>
                <w:sz w:val="20"/>
                <w:szCs w:val="20"/>
                <w:color w:val="auto"/>
              </w:rPr>
            </w:pPr>
            <w:r>
              <w:rPr>
                <w:rFonts w:ascii="Arial" w:cs="Arial" w:eastAsia="Arial" w:hAnsi="Arial"/>
                <w:sz w:val="18"/>
                <w:szCs w:val="18"/>
                <w:color w:val="auto"/>
                <w:w w:val="95"/>
              </w:rPr>
              <w:t>Inline XBRL Instance Document - the instance document does not</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jc w:val="center"/>
              <w:ind w:left="101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gridSpan w:val="10"/>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101.SCH</w:t>
            </w:r>
          </w:p>
        </w:tc>
        <w:tc>
          <w:tcPr>
            <w:tcW w:w="50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101.CAL</w:t>
            </w:r>
          </w:p>
        </w:tc>
        <w:tc>
          <w:tcPr>
            <w:tcW w:w="5060" w:type="dxa"/>
            <w:vAlign w:val="bottom"/>
            <w:gridSpan w:val="10"/>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101.LAB</w:t>
            </w:r>
          </w:p>
        </w:tc>
        <w:tc>
          <w:tcPr>
            <w:tcW w:w="50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101.PRE</w:t>
            </w:r>
          </w:p>
        </w:tc>
        <w:tc>
          <w:tcPr>
            <w:tcW w:w="5060" w:type="dxa"/>
            <w:vAlign w:val="bottom"/>
            <w:gridSpan w:val="10"/>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101.DEF</w:t>
            </w:r>
          </w:p>
        </w:tc>
        <w:tc>
          <w:tcPr>
            <w:tcW w:w="5060" w:type="dxa"/>
            <w:vAlign w:val="bottom"/>
            <w:gridSpan w:val="10"/>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104</w:t>
            </w:r>
          </w:p>
        </w:tc>
        <w:tc>
          <w:tcPr>
            <w:tcW w:w="5060" w:type="dxa"/>
            <w:vAlign w:val="bottom"/>
            <w:gridSpan w:val="10"/>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3"/>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0"/>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Faust</w:t>
            </w:r>
          </w:p>
        </w:tc>
      </w:tr>
      <w:tr>
        <w:trPr>
          <w:trHeight w:val="222"/>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48" w:name="page49"/>
    <w:bookmarkEnd w:id="48"/>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7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2021, as filed with the Securities and Exchange Commission on the date hereof (the “Report”), I, Guillaume Marie Jean Rutten, President and Chief Executive Officer of the Company, certify, pursuant to 18 U.S.C. Section 1350, as adopted pursuant to Section 906 of the Sarbanes-Oxley Act of 2002, that:</w:t>
      </w:r>
    </w:p>
    <w:p>
      <w:pPr>
        <w:spacing w:after="0" w:line="42"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660" w:hanging="4"/>
        <w:spacing w:after="0" w:line="277" w:lineRule="auto"/>
        <w:tabs>
          <w:tab w:leader="none" w:pos="9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2021,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660" w:hanging="4"/>
        <w:spacing w:after="0" w:line="277" w:lineRule="auto"/>
        <w:tabs>
          <w:tab w:leader="none" w:pos="9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2021-04-30T13:35:13Z</dcterms:created>
  <dcterms:modified xsi:type="dcterms:W3CDTF">2021-04-30T13:35:13Z</dcterms:modified>
</cp:coreProperties>
</file>